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Lexus atinge 10 milhões de veículos vendidos no mundo e sua melhor performance em um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Lexus celebra 10 milhões de veículos vendidos globalmente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Marca pioneira supera 1,45 milhão de veículos híbridos de luxo comercializados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Performance de vendas de 2018 atinge diversos recordes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Lexus chegou à marca de 10 milhões de veículos comercializados, uma conquista especial que surgiu pouco depois de um forte desempenho de vendas no final de 2018, com a Lexus alcançando sua melhor performance comercial de todos os tempos. Além disso, a pioneira no lançamento de um carro híbrido de luxo do mundo em 2005, e que oferece 11 modelos eletrificados globalmente, ultrapassou a marca de 1,45 milhão de unidades híbridas auto recarregáveis vendidas em todo o mundo. As vendas de veículos híbridos da Lexus aumentaram quase 20% em 2018 em relação ao ano anterior, um resultado que ressalta a herança e o comprometimento da marca com a eletrificação.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 ano passado, a Lexus comercializou 698.330 veículos em todo o mundo, representando um aumento de 4,5% em relação a 2017 (668.515 unidades). Uma sólida variedade de veículos utilitários de luxo, como o RX e o NX, modelos ícones como LC e LS, juntamente com o novo ES e a chegada do UX, combinaram-se para levar a marca global de estilo de vida de luxo ao seu melhor ano de vendas.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“A Lexus continua a desfrutar de um crescimento substancial em todo o mundo, expandindo sua presença nos mercados emergentes e reafirmando sua força nos mercados estabelecidos. O foco claro da marca em produtos incríveis e experiências marcantes fornecidas pelos melhores revendedores apoiarão seu crescimento global nos próximos anos”, disse o presidente da Lexus International, Yoshihiro Sawa.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modelos da marca Lexus são comercializados no Brasil desde 1994, com vendas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shop in shop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nas concessionárias da Toyota. Entretanto, desde 2012, quando foi inaugurada a primeira revenda em São Paulo, a empresa trabalha para desenvolver um modelo de negócios com distribuição em lojas próprias.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Atualmente, já são 25 pontos de contato com o cliente, oferecendo distribuição, pós-venda 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showrooms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 todo o País. A expansão representa, em média, 80% de cobertura do mercado automotivo de luxo em todo o território nacional.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Durante o Salão do Automóvel de São Paulo, realizado em novembro de 2018, a Lexus confirmou que o Brasil será o primeiro País no mundo a contar com um portfólio de veículos 100% híbrido. Atualmente, a marca comercializa cinco modelos no Brasil, quatro deles híbridos: o compacto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premium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CT 200h, os SUVs NX 300h e RX 350 (único movido somente a combustão) e os sedãs de luxo ES 300h e LS 500h.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 ano passado, a Lexus comercializou 784 modelos no Brasil e em 2019 planeja chegar a mais de 2 mil unidades vendidas. Para isso, baseia-se na expansão e consolidação de sua rede de concessionárias, na qualidade do serviço e tratamento diferenciado dispensado a seus clientes e no lançamento do Lexus UX, que deve chegar ainda no primeiro trimestre deste ano.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Para baixar este press release, bem como todo o material de imprensa da Lexus Brasil, como fotos e vídeos, visite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0000ff"/>
            <w:u w:val="single"/>
            <w:vertAlign w:val="baseline"/>
            <w:rtl w:val="0"/>
          </w:rPr>
          <w:t xml:space="preserve">www.lexusimprensa.com.br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disponibilizava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Informações à 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Departamento de Comunicação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Rafael Borges – Chefe de imprensa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(11) 4390-4177 –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raborges@toyota.com.br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Kelly Buarque – (11) 4390-4018 –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Solicitação de veículos para testes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Danielle Morim – (11) 4390-5720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dmorim@toyota.com.br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Printer Press Comunicação Corporativa – Assessoria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Lilian Sanches – (11) 5582-1619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lilian.sanches@grupoprinter.com.br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Oscar Brandtneris – (11) 5582-1582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oscar.brandtneris@grupoprinter.com.br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Fevereiro/2019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ja-JP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date-info">
    <w:name w:val="date-info"/>
    <w:basedOn w:val="Normal"/>
    <w:next w:val="date-inf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../AppData/Local/Microsoft/Windows/Temporary%20Internet%20Files/Content.Outlook/AppData/Local/Microsoft/Windows/Temporary%20Internet%20Files/raborges/AppData/Local/Microsoft/Windows/Temporary%20Internet%20Files/Content.Outlook/AppData/Local/Microsoft/Windows/Temporary%20Internet%20Files/Content.Outlook/IRGYMHIV/AppData/Local/Microsoft/Windows/INetCache/AppData/Local/Microsoft/Windows/Temporary%20Internet%20Files/Content.Outlook/S2GAT840/AppData/Local/Microsoft/Windows/INetCache/Content.Outlook/JJ9GX35A/lilian.sanches@grupoprinter.com.br" TargetMode="External"/><Relationship Id="rId10" Type="http://schemas.openxmlformats.org/officeDocument/2006/relationships/hyperlink" Target="mailto:dmorim@toyota.com.br" TargetMode="External"/><Relationship Id="rId12" Type="http://schemas.openxmlformats.org/officeDocument/2006/relationships/hyperlink" Target="http://../AppData/Local/Microsoft/Windows/Temporary%20Internet%20Files/Content.Outlook/AppData/Local/Microsoft/Windows/Temporary%20Internet%20Files/raborges/AppData/Local/Microsoft/Windows/Temporary%20Internet%20Files/Content.Outlook/AppData/Local/Microsoft/Windows/Temporary%20Internet%20Files/Content.Outlook/IRGYMHIV/AppData/Local/Microsoft/Windows/INetCache/AppData/Local/Microsoft/Windows/Temporary%20Internet%20Files/Content.Outlook/S2GAT840/AppData/Local/Microsoft/Windows/INetCache/Content.Outlook/JJ9GX35A/oscar.brandtneris@grupoprinter.com.br" TargetMode="External"/><Relationship Id="rId9" Type="http://schemas.openxmlformats.org/officeDocument/2006/relationships/hyperlink" Target="mailto:kbuarque@toyot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exusimprensa.com.br" TargetMode="External"/><Relationship Id="rId8" Type="http://schemas.openxmlformats.org/officeDocument/2006/relationships/hyperlink" Target="mailto:raborges@toyot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l1FwOsCibvlkWbWPiRw9dHpUBw==">AMUW2mXtq4JqLGYyfNvB4Bx4T4H93hrq4+HUNt/gAU8A/cChAdxLIkxyg8z6Hae85+9TbyGc3Ns0i1B5sG2xkU+K2hsHl9cdVsD08k6rhvEsi7gUI/IfKnE=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2019-02-25T17:26:00Z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