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firstLine="0"/>
        <w:jc w:val="center"/>
        <w:rPr>
          <w:rFonts w:ascii="Arial" w:cs="Arial" w:eastAsia="Arial" w:hAnsi="Arial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ind w:firstLine="0"/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Lexus revela instalação de Marjan van Aubel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 ICA Miami</w:t>
      </w:r>
    </w:p>
    <w:p w:rsidR="00000000" w:rsidDel="00000000" w:rsidP="00000000" w:rsidRDefault="00000000" w:rsidRPr="00000000" w14:paraId="00000003">
      <w:pPr>
        <w:shd w:fill="ffffff" w:val="clear"/>
        <w:spacing w:after="220" w:before="220" w:lineRule="auto"/>
        <w:ind w:firstLine="0"/>
        <w:jc w:val="center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‘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8 Minutos e 20 Segundos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’ 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é uma nova 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obra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 interativa inspirada no poder da energia neutra em carbono e no mais recente carro-conceito Lexus</w:t>
      </w:r>
    </w:p>
    <w:p w:rsidR="00000000" w:rsidDel="00000000" w:rsidP="00000000" w:rsidRDefault="00000000" w:rsidRPr="00000000" w14:paraId="00000004">
      <w:pPr>
        <w:shd w:fill="ffffff" w:val="clear"/>
        <w:spacing w:after="220" w:before="220" w:lineRule="auto"/>
        <w:ind w:firstLine="0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20" w:before="220" w:lineRule="auto"/>
        <w:ind w:firstLine="0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</w:rPr>
        <w:drawing>
          <wp:inline distB="0" distT="0" distL="0" distR="0">
            <wp:extent cx="3504496" cy="2336331"/>
            <wp:effectExtent b="0" l="0" r="0" t="0"/>
            <wp:docPr descr="&quot;8 minutos e 20 segundos&quot;" id="5" name="image6.jpg"/>
            <a:graphic>
              <a:graphicData uri="http://schemas.openxmlformats.org/drawingml/2006/picture">
                <pic:pic>
                  <pic:nvPicPr>
                    <pic:cNvPr descr="&quot;8 minutos e 20 segundos&quot;"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4496" cy="23363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20" w:before="220" w:lineRule="auto"/>
        <w:ind w:firstLine="0"/>
        <w:jc w:val="center"/>
        <w:rPr>
          <w:rFonts w:ascii="Arial" w:cs="Arial" w:eastAsia="Arial" w:hAnsi="Arial"/>
          <w:i w:val="1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highlight w:val="white"/>
          <w:rtl w:val="0"/>
        </w:rPr>
        <w:t xml:space="preserve">8 Minutos e 20 Segundos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Hoje, a Lexus revelou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8 Minutos e 20 Segundos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, uma instalação da designer solar holandesa Marjan van Aubel, que está agora em exibição no jardim de esculturas do Institute of Contemporary Arte, Miami (ICA Miami). Cheia de vida e cor, a escultura solar reimagina o carro-conceito Lexus Future Zero-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mission Catalyst (LF-ZC) como uma experiência interativa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por meio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do uso de células solares, marca registrada de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Marjan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8 Minutos e 20 Segundos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marca o primeiro projeto público d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 artista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em Miami e foi realizado por meio do desenvolvimento de design pela empresa espacial e de experiência Random Studio.</w:t>
      </w:r>
    </w:p>
    <w:p w:rsidR="00000000" w:rsidDel="00000000" w:rsidP="00000000" w:rsidRDefault="00000000" w:rsidRPr="00000000" w14:paraId="00000009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Nomeado em referência ao tempo que a luz solar leva para chegar à Terra,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8 Minutos e 20 Segundos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usa células solares de terceira geração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 Fotovoltaica Orgânica (OPV)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–,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que são transparentes e ricas em cores, para traduzir o LF-ZC em um design de padrão gráfico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que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representa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tamanho real o carro-conceito.</w:t>
      </w:r>
    </w:p>
    <w:p w:rsidR="00000000" w:rsidDel="00000000" w:rsidP="00000000" w:rsidRDefault="00000000" w:rsidRPr="00000000" w14:paraId="0000000A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8 Minutos e 20 Segundos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se revela aos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espectadores à medida que estes se movimentam e exploram diferentes perspectivas.</w:t>
      </w:r>
    </w:p>
    <w:p w:rsidR="00000000" w:rsidDel="00000000" w:rsidP="00000000" w:rsidRDefault="00000000" w:rsidRPr="00000000" w14:paraId="0000000B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Quatro sensores de movimento individuais geram luz que salta e ondula como água na base da instalação, que representa a plataforma EV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(Electric Vehicle)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do carro. Em intervalos inesperados, a instalação ganha vida em um espetáculo efêmero – a luz cai sobre ela como uma melodia crescendo, refletindo a dinâmica do carro em movimento e oferecendo um vislumbre sensorial da energia de dirigir. À medida que o dia avança, os tons quentes do nascer do sol refletidos nas folhas OPV dão lugar a tons mais frios.</w:t>
      </w:r>
    </w:p>
    <w:p w:rsidR="00000000" w:rsidDel="00000000" w:rsidP="00000000" w:rsidRDefault="00000000" w:rsidRPr="00000000" w14:paraId="0000000C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Ao longo do dia, a escultura aproveita a energia solar, extraída das folhas OPV. Essas células solares acumulam energia em baterias discretamente aninhadas na base da escultura. A instalação emana uma melodia ambiente, entrelaçando instrumentos de cordas quentes, piano suave e sinos que se harmonizam com o ambiente. Intermitentemente, a melodia é embelezada com cantos de pássaros e outros efeitos sonoros. Por vezes, a composição introduz notas amadeiradas de bambu, uma referência sutil ao bambu original do interior do carro, integrando a sua essência na experiência auditiva.</w:t>
      </w:r>
    </w:p>
    <w:p w:rsidR="00000000" w:rsidDel="00000000" w:rsidP="00000000" w:rsidRDefault="00000000" w:rsidRPr="00000000" w14:paraId="0000000D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Em exibição até o dia 17,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8 Minutos e 20 Segundos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marca o segundo ano de parceria da Lexus com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ICA Miami e a sexta experiência imersiva da marca durante a Miami Art &amp; Design Week.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Por meio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da colaboração e da apresentação de instalações de classe mundial, a Lexus e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ICA Miami estão empenhad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em construir experiências que inspirem os visitantes a refletir sobre o imenso potencial do design criativo.</w:t>
      </w:r>
    </w:p>
    <w:p w:rsidR="00000000" w:rsidDel="00000000" w:rsidP="00000000" w:rsidRDefault="00000000" w:rsidRPr="00000000" w14:paraId="0000000E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Reconhecida mundialmente como defensora da sustentabilidade na arte e no design,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Marjan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van Aubel é uma parceira natural do espírito de design inovador da Lexus. Notavelmente,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ela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trabalhou ante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com a Lexus como mentora dos vencedores do Lexus Design Award 2023, que fornece orientação e apoio ao desenvolvimento para designers emergentes em todo o mundo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 fim de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criar novos produtos que construam um futuro melhor.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Destacado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pelo seu design de mobiliário e iluminação, bem como por instalações públicas, o seu trabalho une a tecnologia solar com soluções de design estético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está presente em coleções de instituições de prestígio como o MoMA, o Vitra Design Museum, o Stedelijk Museum e o Victoria and Albert Museum.</w:t>
      </w:r>
    </w:p>
    <w:p w:rsidR="00000000" w:rsidDel="00000000" w:rsidP="00000000" w:rsidRDefault="00000000" w:rsidRPr="00000000" w14:paraId="00000010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20" w:before="220" w:line="276" w:lineRule="auto"/>
        <w:ind w:firstLine="0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</w:rPr>
        <w:drawing>
          <wp:inline distB="0" distT="0" distL="0" distR="0">
            <wp:extent cx="4073239" cy="2289730"/>
            <wp:effectExtent b="0" l="0" r="0" t="0"/>
            <wp:docPr descr="O carro-conceito LF-ZC.  Foto cortesia da Lexus" id="7" name="image5.jpg"/>
            <a:graphic>
              <a:graphicData uri="http://schemas.openxmlformats.org/drawingml/2006/picture">
                <pic:pic>
                  <pic:nvPicPr>
                    <pic:cNvPr descr="O carro-conceito LF-ZC.  Foto cortesia da Lexus"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3239" cy="2289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0" w:before="220" w:line="276" w:lineRule="auto"/>
        <w:ind w:firstLine="0"/>
        <w:jc w:val="center"/>
        <w:rPr>
          <w:rFonts w:ascii="Arial" w:cs="Arial" w:eastAsia="Arial" w:hAnsi="Arial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O carro-conceito LF-ZC</w:t>
      </w:r>
    </w:p>
    <w:p w:rsidR="00000000" w:rsidDel="00000000" w:rsidP="00000000" w:rsidRDefault="00000000" w:rsidRPr="00000000" w14:paraId="00000013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Foi uma alegria dar vida ao carro-conceito LF-ZC! O espírito da Lexus em relação à inovação, ao artesanato e ao uso de novos materiais ressoa na minha prática de design. Esta instalação convida as pessoas a interagir com a luz e a cor e as envolve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de modo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a imaginar um ambiente em um futuro mais sustentável e positivo.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Por meio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des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 parceria, eu poderia contar uma nova narrativa de geração de energia lindamente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, disse Marjan.</w:t>
      </w:r>
    </w:p>
    <w:p w:rsidR="00000000" w:rsidDel="00000000" w:rsidP="00000000" w:rsidRDefault="00000000" w:rsidRPr="00000000" w14:paraId="00000014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Estamos honrados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por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trabalhar com uma pioneira em design solar tão estimada como Marjan van Aubel. Sua visão e experiência únicas construíram uma instalação notável que ilumina a essência do design do conceito LF-ZC e sua dedicação ao design sustentável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que prioriza o ser humano é algo que compartilhamos e valorizamos muito. É emocionante ver es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 escultura ganhando vida no jardim do ICA Miami", disse Brian Bolain, chefe global de marketing da Lexus.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“A sustentabilidade ambiental é uma prioridade para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ICA Miami, uma vez que assumimos um compromisso durante todo o ano para minimizar e compensar a nossa pegada de carbono. O poderoso trabalho de Marjan van Aubel com a Lexus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mostra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avanços significativos no design sustentável inovador e representa como a preocupação ecológica global impulsiona soluções contemporâneas. Estamos muito satisfeitos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por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fornecer uma plataforma importante para Marjan e seu poderoso trabalho durante a Miami Art Week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afirmou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Alex Gartenfeld, diretor artístico de Irma e Norman Braman do ICA Miami.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Sobre Marjan van Aubel</w:t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ind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Marjan van Aubel Studio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realiza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uma premiada e inovadora prática de design solar que traz a energia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do Sol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para a vida diária, projetando para um futuro positivo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por meio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da combinação das áreas de sustentabilidade, design e tecnologia. O estúdio está criando mudanças duradouras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por intermédio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do design solar, integrando perfeitamente a energia solar em nossos ambientes, como edifícios e objetos, com o objetivo de torn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á-la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mais acessível para todos. As obras mais notáveis ​​são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Sunne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Current Table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Power Plant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e a cobertura do Pavilhão da Holanda na World Expo 2020 em Dubai.</w:t>
      </w:r>
    </w:p>
    <w:p w:rsidR="00000000" w:rsidDel="00000000" w:rsidP="00000000" w:rsidRDefault="00000000" w:rsidRPr="00000000" w14:paraId="00000018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Marjan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Van Aubel colaborou com marcas globais como Cos, Timberland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Swarovski com o objetivo de acelerar a transição global para a energia solar.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 artista graduou-se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no Royal College of Art (Design Products MA) em 2012 e na Rietveld Academy DesignLAB (BA) em 2009.</w:t>
      </w:r>
    </w:p>
    <w:p w:rsidR="00000000" w:rsidDel="00000000" w:rsidP="00000000" w:rsidRDefault="00000000" w:rsidRPr="00000000" w14:paraId="00000019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Além disso, foi designada embaixadora da Dutch Design Week 2022, ampliando a iniciativa e as próprias ambições solares. </w:t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Sobre o Instituto de Arte Contemporânea de Miami</w:t>
      </w:r>
    </w:p>
    <w:p w:rsidR="00000000" w:rsidDel="00000000" w:rsidP="00000000" w:rsidRDefault="00000000" w:rsidRPr="00000000" w14:paraId="0000001B">
      <w:pPr>
        <w:shd w:fill="ffffff" w:val="clear"/>
        <w:spacing w:after="240" w:line="276" w:lineRule="auto"/>
        <w:ind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 Instituto de Arte Contemporânea de Miami (ICA Miami) dedica-se a promover a experimentação contínua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na sua área,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mediante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novos estudos e o intercâmbio de arte e ideias em toda a região de Miami e internacionalmente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P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or meio de um calendário de exposições e programas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e da sua coleção, o ICA Miami oferece uma importante plataforma internacional para o trabalho de artistas locais, emergentes e pouco reconhecidos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e promove a apreciação e compreensão do público da arte mais inovadora do nosso tempo.</w:t>
      </w:r>
    </w:p>
    <w:p w:rsidR="00000000" w:rsidDel="00000000" w:rsidP="00000000" w:rsidRDefault="00000000" w:rsidRPr="00000000" w14:paraId="0000001C">
      <w:pPr>
        <w:shd w:fill="ffffff" w:val="clear"/>
        <w:spacing w:after="240" w:before="220" w:line="276" w:lineRule="auto"/>
        <w:ind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Inaugurado em 2014, o ICA abriu sua nova sede permanente no Design District de Miami em 1º de dezembro de 2017. A localização central do museu o posiciona como uma âncora cultural dentro da comunidade e aprimora seu papel no desenvolvimento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da alfabetização cultural em toda a região. O museu oferece entrada gratuita, proporcionando ao público acesso aberto à excelência artística durante todo o ano.</w:t>
      </w:r>
    </w:p>
    <w:p w:rsidR="00000000" w:rsidDel="00000000" w:rsidP="00000000" w:rsidRDefault="00000000" w:rsidRPr="00000000" w14:paraId="0000001D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O Instituto de Arte Contemporânea de Miami está localizado em 61 NE 41st Street, Miami, Flórida 33137. Para obter mais informações, visite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www.icamiami.org</w:t>
        </w:r>
      </w:hyperlink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e explore o Canal ICA para conhecer suas exposições e as práticas dos artistas mais interessantes.</w:t>
      </w:r>
    </w:p>
    <w:p w:rsidR="00000000" w:rsidDel="00000000" w:rsidP="00000000" w:rsidRDefault="00000000" w:rsidRPr="00000000" w14:paraId="0000001E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20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O projeto de construção do novo Corolla Cross tem relação direta com os seguintes Objetivos de Sustentabilidade das Organizações das Nações Unidas:</w:t>
      </w:r>
    </w:p>
    <w:p w:rsidR="00000000" w:rsidDel="00000000" w:rsidP="00000000" w:rsidRDefault="00000000" w:rsidRPr="00000000" w14:paraId="00000021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</w:rPr>
        <w:drawing>
          <wp:inline distB="114300" distT="114300" distL="114300" distR="114300">
            <wp:extent cx="915988" cy="915988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988" cy="915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</w:rPr>
        <w:drawing>
          <wp:inline distB="114300" distT="114300" distL="114300" distR="114300">
            <wp:extent cx="915513" cy="915513"/>
            <wp:effectExtent b="0" l="0" r="0" t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513" cy="915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20" w:before="220" w:line="276" w:lineRule="auto"/>
        <w:ind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20" w:before="220" w:lineRule="auto"/>
        <w:ind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hd w:fill="ffffff" w:val="clear"/>
        <w:spacing w:after="220" w:before="220" w:lineRule="auto"/>
        <w:ind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</w:rPr>
        <w:drawing>
          <wp:inline distB="114300" distT="114300" distL="114300" distR="114300">
            <wp:extent cx="1611313" cy="950674"/>
            <wp:effectExtent b="0" l="0" r="0" t="0"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1313" cy="9506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20" w:before="220" w:lineRule="auto"/>
        <w:ind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A Toyota Motor Corporation trabalha para desenvolver e fabricar produtos de alta qualidade, seguros e inovadores, além de serviços que criem felicidade ao oferecer mobilidade para todos. Acreditamos que a verdadeira conquista vem ao apoiar nossos clientes, parceiros, colaboradores e as comunidades onde estamos inseridos. Desde a nossa fundação, há mais de 80 anos, em 1937, aplicamos nossos princípios na busca de uma sociedade mais inclusiva, sustentável e segura. Hoje, ao nos transformar em uma empresa de mobilidade, desenvolvendo tecnologias conectadas, automatizadas, compartilhadas e eletrificadas, nos mantemos fiéis aos nossos princípios e a muitos dos Objetivos de Desenvolvimento Sustentável da ONU, para contribuir com um mundo melhor, onde todos são livres para se locomover.</w:t>
      </w:r>
    </w:p>
    <w:p w:rsidR="00000000" w:rsidDel="00000000" w:rsidP="00000000" w:rsidRDefault="00000000" w:rsidRPr="00000000" w14:paraId="00000026">
      <w:pPr>
        <w:pBdr>
          <w:bottom w:color="000000" w:space="1" w:sz="12" w:val="single"/>
        </w:pBdr>
        <w:shd w:fill="ffffff" w:val="clear"/>
        <w:spacing w:after="220" w:before="220" w:lineRule="auto"/>
        <w:ind w:firstLine="0"/>
        <w:jc w:val="both"/>
        <w:rPr>
          <w:rFonts w:ascii="Arial" w:cs="Arial" w:eastAsia="Arial" w:hAnsi="Arial"/>
          <w:i w:val="1"/>
          <w:color w:val="1155cc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rtl w:val="0"/>
        </w:rPr>
        <w:t xml:space="preserve">Para baixar este ‘press release’, bem como todo o material de imprensa da Lexus Brasil, como fotos e vídeos, visite </w:t>
      </w:r>
      <w:hyperlink r:id="rId13">
        <w:r w:rsidDel="00000000" w:rsidR="00000000" w:rsidRPr="00000000">
          <w:rPr>
            <w:rFonts w:ascii="Arial" w:cs="Arial" w:eastAsia="Arial" w:hAnsi="Arial"/>
            <w:i w:val="1"/>
            <w:color w:val="1155cc"/>
            <w:sz w:val="22"/>
            <w:szCs w:val="22"/>
            <w:highlight w:val="white"/>
            <w:u w:val="single"/>
            <w:rtl w:val="0"/>
          </w:rPr>
          <w:t xml:space="preserve">www.lexuscomunica.com.br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ind w:firstLine="0"/>
        <w:jc w:val="both"/>
        <w:rPr>
          <w:rFonts w:ascii="Arial" w:cs="Arial" w:eastAsia="Arial" w:hAnsi="Arial"/>
          <w:b w:val="1"/>
          <w:i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2"/>
          <w:szCs w:val="22"/>
          <w:highlight w:val="white"/>
          <w:rtl w:val="0"/>
        </w:rPr>
        <w:t xml:space="preserve">SOBRE A LEXUS</w:t>
      </w:r>
    </w:p>
    <w:p w:rsidR="00000000" w:rsidDel="00000000" w:rsidP="00000000" w:rsidRDefault="00000000" w:rsidRPr="00000000" w14:paraId="00000028">
      <w:pPr>
        <w:shd w:fill="ffffff" w:val="clear"/>
        <w:spacing w:after="240" w:lineRule="auto"/>
        <w:ind w:firstLine="0"/>
        <w:jc w:val="both"/>
        <w:rPr>
          <w:rFonts w:ascii="Arial" w:cs="Arial" w:eastAsia="Arial" w:hAnsi="Arial"/>
          <w:i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rtl w:val="0"/>
        </w:rPr>
        <w:t xml:space="preserve">Desde a sua estreia, em 1989, a Lexus conquistou sólida reputação por seus produtos de alta qualidade e pelo excelente nível de atendimento prestado aos clientes. Em seu início, a Lexus disponibilizou dois sedãs de luxo e seu compromisso com a busca pela perfeição. Desde aquela época, tem expandido sua linha de produtos para atender clientes do mercado de luxo em todo o mundo.</w:t>
      </w:r>
    </w:p>
    <w:p w:rsidR="00000000" w:rsidDel="00000000" w:rsidP="00000000" w:rsidRDefault="00000000" w:rsidRPr="00000000" w14:paraId="00000029">
      <w:pPr>
        <w:shd w:fill="ffffff" w:val="clear"/>
        <w:spacing w:after="240" w:lineRule="auto"/>
        <w:ind w:firstLine="0"/>
        <w:jc w:val="both"/>
        <w:rPr>
          <w:rFonts w:ascii="Arial" w:cs="Arial" w:eastAsia="Arial" w:hAnsi="Arial"/>
          <w:i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rtl w:val="0"/>
        </w:rPr>
        <w:t xml:space="preserve">Atualmente, a marca vai além de sua reputação de veículos de alta qualidade, com a integração de tecnologias inovadoras, como a Lexus Hybrid Drive, que conquistou a liderança no segmento de luxo híbrido. Hoje, a Lexus comercializa em todo o mundo diversas versões de dez modelos.</w:t>
      </w:r>
    </w:p>
    <w:p w:rsidR="00000000" w:rsidDel="00000000" w:rsidP="00000000" w:rsidRDefault="00000000" w:rsidRPr="00000000" w14:paraId="0000002A">
      <w:pPr>
        <w:shd w:fill="ffffff" w:val="clear"/>
        <w:spacing w:after="220" w:before="220" w:lineRule="auto"/>
        <w:ind w:firstLine="0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220" w:before="220" w:lineRule="auto"/>
        <w:ind w:firstLine="0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2C">
      <w:pPr>
        <w:shd w:fill="ffffff" w:val="clear"/>
        <w:spacing w:after="220" w:before="220" w:lineRule="auto"/>
        <w:ind w:firstLine="0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D">
      <w:pPr>
        <w:shd w:fill="ffffff" w:val="clear"/>
        <w:spacing w:after="220" w:before="220" w:lineRule="auto"/>
        <w:ind w:firstLine="0"/>
        <w:jc w:val="both"/>
        <w:rPr>
          <w:rFonts w:ascii="Arial" w:cs="Arial" w:eastAsia="Arial" w:hAnsi="Arial"/>
          <w:b w:val="1"/>
          <w:color w:val="1155cc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Lilian Assis –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highlight w:val="white"/>
          <w:u w:val="single"/>
          <w:rtl w:val="0"/>
        </w:rPr>
        <w:t xml:space="preserve">lassis@toyota.com.br</w:t>
      </w:r>
    </w:p>
    <w:p w:rsidR="00000000" w:rsidDel="00000000" w:rsidP="00000000" w:rsidRDefault="00000000" w:rsidRPr="00000000" w14:paraId="0000002E">
      <w:pPr>
        <w:shd w:fill="ffffff" w:val="clear"/>
        <w:spacing w:after="220" w:before="220" w:lineRule="auto"/>
        <w:ind w:firstLine="0"/>
        <w:jc w:val="both"/>
        <w:rPr>
          <w:rFonts w:ascii="Arial" w:cs="Arial" w:eastAsia="Arial" w:hAnsi="Arial"/>
          <w:b w:val="1"/>
          <w:color w:val="1155cc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Kelly Buarque –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highlight w:val="white"/>
          <w:u w:val="single"/>
          <w:rtl w:val="0"/>
        </w:rPr>
        <w:t xml:space="preserve">kbuarque@toyota.com.br</w:t>
      </w:r>
    </w:p>
    <w:p w:rsidR="00000000" w:rsidDel="00000000" w:rsidP="00000000" w:rsidRDefault="00000000" w:rsidRPr="00000000" w14:paraId="0000002F">
      <w:pPr>
        <w:shd w:fill="ffffff" w:val="clear"/>
        <w:spacing w:after="220" w:before="220" w:lineRule="auto"/>
        <w:ind w:firstLine="0"/>
        <w:jc w:val="both"/>
        <w:rPr>
          <w:rFonts w:ascii="Arial" w:cs="Arial" w:eastAsia="Arial" w:hAnsi="Arial"/>
          <w:b w:val="1"/>
          <w:color w:val="1155cc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Kessia Santos –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highlight w:val="white"/>
          <w:u w:val="single"/>
          <w:rtl w:val="0"/>
        </w:rPr>
        <w:t xml:space="preserve">kosantos@toyota.com.br</w:t>
      </w:r>
    </w:p>
    <w:p w:rsidR="00000000" w:rsidDel="00000000" w:rsidP="00000000" w:rsidRDefault="00000000" w:rsidRPr="00000000" w14:paraId="00000030">
      <w:pPr>
        <w:shd w:fill="ffffff" w:val="clear"/>
        <w:spacing w:after="220" w:before="220" w:lineRule="auto"/>
        <w:ind w:firstLine="0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highlight w:val="white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31">
      <w:pPr>
        <w:shd w:fill="ffffff" w:val="clear"/>
        <w:spacing w:after="220" w:before="220" w:lineRule="auto"/>
        <w:ind w:firstLine="0"/>
        <w:jc w:val="both"/>
        <w:rPr>
          <w:rFonts w:ascii="Arial" w:cs="Arial" w:eastAsia="Arial" w:hAnsi="Arial"/>
          <w:b w:val="1"/>
          <w:color w:val="1155cc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highlight w:val="white"/>
          <w:u w:val="single"/>
          <w:rtl w:val="0"/>
        </w:rPr>
        <w:t xml:space="preserve">toyota@rpmacomunicacao.com.br</w:t>
      </w:r>
    </w:p>
    <w:p w:rsidR="00000000" w:rsidDel="00000000" w:rsidP="00000000" w:rsidRDefault="00000000" w:rsidRPr="00000000" w14:paraId="00000032">
      <w:pPr>
        <w:shd w:fill="ffffff" w:val="clear"/>
        <w:spacing w:after="220" w:before="220" w:lineRule="auto"/>
        <w:ind w:firstLine="0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33">
      <w:pPr>
        <w:shd w:fill="ffffff" w:val="clear"/>
        <w:spacing w:after="220" w:before="220" w:lineRule="auto"/>
        <w:ind w:firstLine="0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34">
      <w:pPr>
        <w:shd w:fill="ffffff" w:val="clear"/>
        <w:spacing w:after="220" w:before="220" w:lineRule="auto"/>
        <w:ind w:firstLine="0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Henrique Carmo – (11) 98058-6298</w:t>
      </w:r>
    </w:p>
    <w:p w:rsidR="00000000" w:rsidDel="00000000" w:rsidP="00000000" w:rsidRDefault="00000000" w:rsidRPr="00000000" w14:paraId="00000035">
      <w:pPr>
        <w:shd w:fill="ffffff" w:val="clear"/>
        <w:spacing w:after="220" w:before="220" w:lineRule="auto"/>
        <w:ind w:firstLine="0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Tel.: (11) 5501-4655</w:t>
      </w:r>
    </w:p>
    <w:p w:rsidR="00000000" w:rsidDel="00000000" w:rsidP="00000000" w:rsidRDefault="00000000" w:rsidRPr="00000000" w14:paraId="00000036">
      <w:pPr>
        <w:ind w:hanging="2"/>
        <w:rPr>
          <w:rFonts w:ascii="Arial" w:cs="Arial" w:eastAsia="Arial" w:hAnsi="Arial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pgSz w:h="16838" w:w="11906" w:orient="portrait"/>
      <w:pgMar w:bottom="1417" w:top="1560" w:left="1700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ind w:hanging="2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62915" cy="462915"/>
              <wp:effectExtent b="0" l="0" r="0" t="0"/>
              <wp:wrapNone/>
              <wp:docPr descr="• PUBLIC 公開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1.0000000149011612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62915" cy="462915"/>
              <wp:effectExtent b="0" l="0" r="0" t="0"/>
              <wp:wrapNone/>
              <wp:docPr descr="• PUBLIC 公開" id="1" name="image8.png"/>
              <a:graphic>
                <a:graphicData uri="http://schemas.openxmlformats.org/drawingml/2006/picture">
                  <pic:pic>
                    <pic:nvPicPr>
                      <pic:cNvPr descr="• PUBLIC 公開"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" cy="462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inline distB="114300" distT="114300" distL="114300" distR="114300">
          <wp:extent cx="1466850" cy="466725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466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57150</wp:posOffset>
          </wp:positionV>
          <wp:extent cx="1665605" cy="382905"/>
          <wp:effectExtent b="0" l="0" r="0" t="0"/>
          <wp:wrapSquare wrapText="bothSides" distB="0" distT="0" distL="114300" distR="114300"/>
          <wp:docPr id="10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5605" cy="3829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62915" cy="462915"/>
              <wp:effectExtent b="0" l="0" r="0" t="0"/>
              <wp:wrapNone/>
              <wp:docPr descr="• PUBLIC 公開"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1.0000000149011612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62915" cy="462915"/>
              <wp:effectExtent b="0" l="0" r="0" t="0"/>
              <wp:wrapNone/>
              <wp:docPr descr="• PUBLIC 公開" id="3" name="image10.png"/>
              <a:graphic>
                <a:graphicData uri="http://schemas.openxmlformats.org/drawingml/2006/picture">
                  <pic:pic>
                    <pic:nvPicPr>
                      <pic:cNvPr descr="• PUBLIC 公開"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" cy="462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62915" cy="462915"/>
              <wp:effectExtent b="0" l="0" r="0" t="0"/>
              <wp:wrapNone/>
              <wp:docPr descr="• PUBLIC 公開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1.0000000149011612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62915" cy="462915"/>
              <wp:effectExtent b="0" l="0" r="0" t="0"/>
              <wp:wrapNone/>
              <wp:docPr descr="• PUBLIC 公開" id="2" name="image9.png"/>
              <a:graphic>
                <a:graphicData uri="http://schemas.openxmlformats.org/drawingml/2006/picture">
                  <pic:pic>
                    <pic:nvPicPr>
                      <pic:cNvPr descr="• PUBLIC 公開"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" cy="462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jpg"/><Relationship Id="rId10" Type="http://schemas.openxmlformats.org/officeDocument/2006/relationships/image" Target="media/image3.jpg"/><Relationship Id="rId13" Type="http://schemas.openxmlformats.org/officeDocument/2006/relationships/hyperlink" Target="http://www.lexuscomunica.com.br/" TargetMode="External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camiami.org/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jpg"/><Relationship Id="rId8" Type="http://schemas.openxmlformats.org/officeDocument/2006/relationships/image" Target="media/image5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2.png"/><Relationship Id="rId3" Type="http://schemas.openxmlformats.org/officeDocument/2006/relationships/image" Target="media/image7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X/9EKpuCXrYRCvanx0GkjIAVgQ==">CgMxLjA4AHIhMW03ZmwyWW5IZ3pURUpsZS1xbzdtOC1HMXd3SXI1U1Fx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3e975b-7b34-49da-9033-9c8f8f7bcde3_SiteId">
    <vt:lpwstr>3855fb14-c221-4399-b3f8-97d96a4ce45d</vt:lpwstr>
  </property>
  <property fmtid="{D5CDD505-2E9C-101B-9397-08002B2CF9AE}" pid="3" name="MSIP_Label_023e975b-7b34-49da-9033-9c8f8f7bcde3_ActionId">
    <vt:lpwstr>22dfabf9-ea0e-4c3a-b6b4-c666c95521c3</vt:lpwstr>
  </property>
  <property fmtid="{D5CDD505-2E9C-101B-9397-08002B2CF9AE}" pid="4" name="ClassificationContentMarkingHeaderFontProps">
    <vt:lpwstr>#008000,10,MS UI Gothic</vt:lpwstr>
  </property>
  <property fmtid="{D5CDD505-2E9C-101B-9397-08002B2CF9AE}" pid="5" name="ClassificationContentMarkingHeaderText">
    <vt:lpwstr>• PUBLIC 公開</vt:lpwstr>
  </property>
  <property fmtid="{D5CDD505-2E9C-101B-9397-08002B2CF9AE}" pid="6" name="MSIP_Label_023e975b-7b34-49da-9033-9c8f8f7bcde3_Name">
    <vt:lpwstr>Public 公開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SetDate">
    <vt:lpwstr>2023-12-07T12:16:20Z</vt:lpwstr>
  </property>
  <property fmtid="{D5CDD505-2E9C-101B-9397-08002B2CF9AE}" pid="9" name="MSIP_Label_023e975b-7b34-49da-9033-9c8f8f7bcde3_ContentBits">
    <vt:lpwstr>1</vt:lpwstr>
  </property>
  <property fmtid="{D5CDD505-2E9C-101B-9397-08002B2CF9AE}" pid="10" name="ContentTypeId">
    <vt:lpwstr>0x0101009B3E349B1D51EA458CF6BB56A4F3C168</vt:lpwstr>
  </property>
  <property fmtid="{D5CDD505-2E9C-101B-9397-08002B2CF9AE}" pid="11" name="MSIP_Label_023e975b-7b34-49da-9033-9c8f8f7bcde3_Enabled">
    <vt:lpwstr>true</vt:lpwstr>
  </property>
  <property fmtid="{D5CDD505-2E9C-101B-9397-08002B2CF9AE}" pid="12" name="ClassificationContentMarkingHeaderShapeIds">
    <vt:lpwstr>12547ce3,36d9ccd7,69b28a13</vt:lpwstr>
  </property>
</Properties>
</file>