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firstLine="284"/>
        <w:jc w:val="center"/>
        <w:rPr>
          <w:b w:val="1"/>
          <w:sz w:val="40"/>
          <w:szCs w:val="40"/>
        </w:rPr>
      </w:pPr>
      <w:r w:rsidDel="00000000" w:rsidR="00000000" w:rsidRPr="00000000">
        <w:rPr>
          <w:b w:val="1"/>
          <w:sz w:val="40"/>
          <w:szCs w:val="40"/>
          <w:rtl w:val="0"/>
        </w:rPr>
        <w:t xml:space="preserve">Lexus apresenta evolução do iate de luxo LY 650</w:t>
      </w:r>
      <w:r w:rsidDel="00000000" w:rsidR="00000000" w:rsidRPr="00000000">
        <w:rPr>
          <w:rtl w:val="0"/>
        </w:rPr>
      </w:r>
    </w:p>
    <w:p w:rsidR="00000000" w:rsidDel="00000000" w:rsidP="00000000" w:rsidRDefault="00000000" w:rsidRPr="00000000" w14:paraId="00000002">
      <w:pPr>
        <w:numPr>
          <w:ilvl w:val="0"/>
          <w:numId w:val="1"/>
        </w:numPr>
        <w:spacing w:after="0" w:line="360" w:lineRule="auto"/>
        <w:ind w:left="720" w:hanging="36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Plataforma recebe expansão, proporcionando mais espaço para aproveitar e relaxar</w:t>
      </w:r>
    </w:p>
    <w:p w:rsidR="00000000" w:rsidDel="00000000" w:rsidP="00000000" w:rsidRDefault="00000000" w:rsidRPr="00000000" w14:paraId="00000003">
      <w:pPr>
        <w:numPr>
          <w:ilvl w:val="0"/>
          <w:numId w:val="1"/>
        </w:numPr>
        <w:spacing w:after="0" w:line="360" w:lineRule="auto"/>
        <w:ind w:left="720" w:hanging="36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 produção será conduzida pelo Grupo Horizon, que possui reputação estabelecida por sua tecnologia avançada, aprimorada por meio da construção de super iates.</w:t>
      </w:r>
    </w:p>
    <w:p w:rsidR="00000000" w:rsidDel="00000000" w:rsidP="00000000" w:rsidRDefault="00000000" w:rsidRPr="00000000" w14:paraId="0000000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iate de luxo da Lexus, LY 650, dará o próximo passo em sua evolução como o novo LY 680 com algumas melhorias. A partir de hoje (21), os pedidos serão aceitos apenas no Japão por meio dos escritórios de vendas da Toyota Marine e de outros revendedores selecionados.</w:t>
      </w:r>
    </w:p>
    <w:p w:rsidR="00000000" w:rsidDel="00000000" w:rsidP="00000000" w:rsidRDefault="00000000" w:rsidRPr="00000000" w14:paraId="0000000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Lexus tem como objetivo ser uma marca de estilo de vida e luxo, com isso, a novidade é a personificação da filosofia de design da Lexus "Crafted". O LY 680 expressa esse conceito prestando atenção a cada detalhe, a fim de superar as expectativas dos clientes e criar uma experiência única que estimula os sentidos, mesmo estando no mar.</w:t>
      </w:r>
    </w:p>
    <w:p w:rsidR="00000000" w:rsidDel="00000000" w:rsidP="00000000" w:rsidRDefault="00000000" w:rsidRPr="00000000" w14:paraId="0000000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conceito para o iate de luxo é </w:t>
      </w:r>
      <w:r w:rsidDel="00000000" w:rsidR="00000000" w:rsidRPr="00000000">
        <w:rPr>
          <w:rFonts w:ascii="Arial" w:cs="Arial" w:eastAsia="Arial" w:hAnsi="Arial"/>
          <w:i w:val="1"/>
          <w:sz w:val="24"/>
          <w:szCs w:val="24"/>
          <w:rtl w:val="0"/>
        </w:rPr>
        <w:t xml:space="preserve">"sentir-se em um esconderijo no meio do mar, proporcionando um espaço onde clientes exigentes possam se sentir livres e à vontade"</w:t>
      </w:r>
      <w:r w:rsidDel="00000000" w:rsidR="00000000" w:rsidRPr="00000000">
        <w:rPr>
          <w:rFonts w:ascii="Arial" w:cs="Arial" w:eastAsia="Arial" w:hAnsi="Arial"/>
          <w:sz w:val="24"/>
          <w:szCs w:val="24"/>
          <w:rtl w:val="0"/>
        </w:rPr>
        <w:t xml:space="preserve">. O exterior incorpora a filosofia de design da Lexus, L-finesse, e o interior foi meticulosamente elaborado até os menores detalhes para proporcionar um espaço de vida confortável. Em termos de desempenho, a Lexus busca oferecer desempenho de cruzeiro inspirador de confiança, oferecendo manobrabilidade estável, excelente conforto de passeio e silêncio.</w:t>
      </w:r>
    </w:p>
    <w:p w:rsidR="00000000" w:rsidDel="00000000" w:rsidP="00000000" w:rsidRDefault="00000000" w:rsidRPr="00000000" w14:paraId="0000000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produção foi realizada pelo Grupo Horizon, que possui reputação por suas capacidades tecnológicas avançadas, aprimoradas por meio da construção de super iates. Ao combinar as capacidades de construção do Grupo Horizon com métodos de produção de iates baseados no TPS (Toyota Product System), as vantagens de ambas as marcas foram aproveitadas para alcançar melhorias adicionais.</w:t>
      </w:r>
    </w:p>
    <w:p w:rsidR="00000000" w:rsidDel="00000000" w:rsidP="00000000" w:rsidRDefault="00000000" w:rsidRPr="00000000" w14:paraId="0000000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Um modelo em escala 1/20 do LY 680 estará em exibição na Japan International Boat Show 2024, que será realizada no Pacifico Yokohama de 21 a 24 de março de 2024.</w:t>
      </w:r>
    </w:p>
    <w:p w:rsidR="00000000" w:rsidDel="00000000" w:rsidP="00000000" w:rsidRDefault="00000000" w:rsidRPr="00000000" w14:paraId="0000000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Mudanças na plataforma</w:t>
      </w:r>
    </w:p>
    <w:p w:rsidR="00000000" w:rsidDel="00000000" w:rsidP="00000000" w:rsidRDefault="00000000" w:rsidRPr="00000000" w14:paraId="0000001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flybridge foi ampliado em 1.400 mm e apresenta um espaçoso sofá lounge e uma churrasqueira, permitindo que os convidados relaxem e aproveitem a brisa fresca do oceano. Além disso, a plataforma de natação foi estendida em 700 mm, o que permite desfrutar de uma ampla gama de atividades </w:t>
      </w:r>
      <w:r w:rsidDel="00000000" w:rsidR="00000000" w:rsidRPr="00000000">
        <w:rPr>
          <w:rFonts w:ascii="Arial" w:cs="Arial" w:eastAsia="Arial" w:hAnsi="Arial"/>
          <w:i w:val="1"/>
          <w:sz w:val="24"/>
          <w:szCs w:val="24"/>
          <w:rtl w:val="0"/>
        </w:rPr>
        <w:t xml:space="preserve">offshore</w:t>
      </w:r>
      <w:r w:rsidDel="00000000" w:rsidR="00000000" w:rsidRPr="00000000">
        <w:rPr>
          <w:rFonts w:ascii="Arial" w:cs="Arial" w:eastAsia="Arial" w:hAnsi="Arial"/>
          <w:sz w:val="24"/>
          <w:szCs w:val="24"/>
          <w:rtl w:val="0"/>
        </w:rPr>
        <w:t xml:space="preserve">, incluindo esportes aquáticos pessoais.</w:t>
      </w:r>
    </w:p>
    <w:p w:rsidR="00000000" w:rsidDel="00000000" w:rsidP="00000000" w:rsidRDefault="00000000" w:rsidRPr="00000000" w14:paraId="0000001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Grupo Horizon</w:t>
      </w:r>
    </w:p>
    <w:p w:rsidR="00000000" w:rsidDel="00000000" w:rsidP="00000000" w:rsidRDefault="00000000" w:rsidRPr="00000000" w14:paraId="0000001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Grupo Horizon, que construirá o LY 680, é uma marca líder de iates de luxo na Ásia, especializada em iates feitos sob medida utilizando tecnologia avançada e excelentes métodos de produção. A combinação de estilo elegante inspirado na filosofia de design da Lexus, L-finesse, e as capacidades de produção do Grupo Horizon, que foram cultivadas por meio da construção de super iates, alavanca as vantagens de ambas as marcas para criar um iate verdadeiramente espetacular.</w:t>
      </w:r>
    </w:p>
    <w:p w:rsidR="00000000" w:rsidDel="00000000" w:rsidP="00000000" w:rsidRDefault="00000000" w:rsidRPr="00000000" w14:paraId="0000001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360" w:lineRule="auto"/>
        <w:jc w:val="both"/>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Sobre a Lexus</w:t>
      </w:r>
    </w:p>
    <w:p w:rsidR="00000000" w:rsidDel="00000000" w:rsidP="00000000" w:rsidRDefault="00000000" w:rsidRPr="00000000" w14:paraId="00000019">
      <w:pPr>
        <w:spacing w:after="0" w:line="360"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Desde a sua estreia, em 1989, a Lexus conquistou sólida reputação por seus produtos de alta qualidade e pelo excelente nível de atendimento prestado aos clientes. Em seu início, a Lexus disponibiliza dois sedãs de luxo e o compromisso com a busca pela perfeição. Desde aquela época, a Lexus tem expandido sua linha de produtos para atender clientes do mercado de luxo em todo o mundo. Atualmente, a marca vai além de sua reputação de veículos de alta qualidade, com a integração de tecnologias inovadoras, como a Lexus Hybrid Drive, que conquistou a liderança no segmento de luxo híbrido. Hoje, a Lexus comercializa em todo o mundo diversas versões de 11 modelos.</w:t>
      </w:r>
    </w:p>
    <w:p w:rsidR="00000000" w:rsidDel="00000000" w:rsidP="00000000" w:rsidRDefault="00000000" w:rsidRPr="00000000" w14:paraId="0000001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360" w:lineRule="auto"/>
        <w:jc w:val="both"/>
        <w:rPr>
          <w:rFonts w:ascii="Arial" w:cs="Arial" w:eastAsia="Arial" w:hAnsi="Arial"/>
          <w:i w:val="1"/>
          <w:sz w:val="18"/>
          <w:szCs w:val="18"/>
          <w:highlight w:val="white"/>
        </w:rPr>
      </w:pPr>
      <w:r w:rsidDel="00000000" w:rsidR="00000000" w:rsidRPr="00000000">
        <w:rPr>
          <w:rtl w:val="0"/>
        </w:rPr>
      </w:r>
    </w:p>
    <w:p w:rsidR="00000000" w:rsidDel="00000000" w:rsidP="00000000" w:rsidRDefault="00000000" w:rsidRPr="00000000" w14:paraId="0000001C">
      <w:pPr>
        <w:spacing w:after="0" w:line="360"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Mais informações</w:t>
      </w:r>
    </w:p>
    <w:p w:rsidR="00000000" w:rsidDel="00000000" w:rsidP="00000000" w:rsidRDefault="00000000" w:rsidRPr="00000000" w14:paraId="0000001D">
      <w:pPr>
        <w:spacing w:after="0" w:line="360"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Toyota do Brasil – Departamento de Comunicação</w:t>
      </w:r>
    </w:p>
    <w:p w:rsidR="00000000" w:rsidDel="00000000" w:rsidP="00000000" w:rsidRDefault="00000000" w:rsidRPr="00000000" w14:paraId="0000001E">
      <w:pPr>
        <w:spacing w:after="0" w:line="36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Kelly Buarque – </w:t>
      </w:r>
      <w:r w:rsidDel="00000000" w:rsidR="00000000" w:rsidRPr="00000000">
        <w:rPr>
          <w:rFonts w:ascii="Calibri" w:cs="Calibri" w:eastAsia="Calibri" w:hAnsi="Calibri"/>
          <w:sz w:val="24"/>
          <w:szCs w:val="24"/>
          <w:highlight w:val="white"/>
          <w:u w:val="single"/>
          <w:rtl w:val="0"/>
        </w:rPr>
        <w:t xml:space="preserve">kbuarque@toyota.com.br</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1F">
      <w:pPr>
        <w:spacing w:after="0" w:line="360" w:lineRule="auto"/>
        <w:jc w:val="both"/>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highlight w:val="white"/>
          <w:rtl w:val="0"/>
        </w:rPr>
        <w:t xml:space="preserve">Kessia Santos – </w:t>
      </w:r>
      <w:hyperlink r:id="rId7">
        <w:r w:rsidDel="00000000" w:rsidR="00000000" w:rsidRPr="00000000">
          <w:rPr>
            <w:rFonts w:ascii="Calibri" w:cs="Calibri" w:eastAsia="Calibri" w:hAnsi="Calibri"/>
            <w:sz w:val="24"/>
            <w:szCs w:val="24"/>
            <w:highlight w:val="white"/>
            <w:u w:val="single"/>
            <w:rtl w:val="0"/>
          </w:rPr>
          <w:t xml:space="preserve">kosantos@toyota.com.br</w:t>
        </w:r>
      </w:hyperlink>
      <w:r w:rsidDel="00000000" w:rsidR="00000000" w:rsidRPr="00000000">
        <w:rPr>
          <w:rtl w:val="0"/>
        </w:rPr>
      </w:r>
    </w:p>
    <w:p w:rsidR="00000000" w:rsidDel="00000000" w:rsidP="00000000" w:rsidRDefault="00000000" w:rsidRPr="00000000" w14:paraId="00000020">
      <w:pPr>
        <w:spacing w:after="0" w:line="36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21">
      <w:pPr>
        <w:spacing w:after="0" w:line="360"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Giusti Creative PR </w:t>
      </w:r>
    </w:p>
    <w:p w:rsidR="00000000" w:rsidDel="00000000" w:rsidP="00000000" w:rsidRDefault="00000000" w:rsidRPr="00000000" w14:paraId="00000022">
      <w:pPr>
        <w:spacing w:after="0" w:line="360" w:lineRule="auto"/>
        <w:jc w:val="both"/>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u w:val="single"/>
          <w:rtl w:val="0"/>
        </w:rPr>
        <w:t xml:space="preserve">toyota@giusticom.com.br</w:t>
      </w:r>
      <w:r w:rsidDel="00000000" w:rsidR="00000000" w:rsidRPr="00000000">
        <w:rPr>
          <w:rFonts w:ascii="Calibri" w:cs="Calibri" w:eastAsia="Calibri" w:hAnsi="Calibri"/>
          <w:sz w:val="24"/>
          <w:szCs w:val="24"/>
          <w:highlight w:val="white"/>
          <w:u w:val="single"/>
          <w:rtl w:val="0"/>
        </w:rPr>
        <w:t xml:space="preserve"> </w:t>
      </w:r>
    </w:p>
    <w:p w:rsidR="00000000" w:rsidDel="00000000" w:rsidP="00000000" w:rsidRDefault="00000000" w:rsidRPr="00000000" w14:paraId="00000023">
      <w:pPr>
        <w:spacing w:after="0" w:line="360"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Guilherme Magna – (11) 98600-8988</w:t>
      </w:r>
    </w:p>
    <w:p w:rsidR="00000000" w:rsidDel="00000000" w:rsidP="00000000" w:rsidRDefault="00000000" w:rsidRPr="00000000" w14:paraId="00000024">
      <w:pPr>
        <w:spacing w:after="0" w:line="360" w:lineRule="auto"/>
        <w:jc w:val="both"/>
        <w:rPr>
          <w:b w:val="1"/>
          <w:sz w:val="24"/>
          <w:szCs w:val="24"/>
          <w:highlight w:val="white"/>
        </w:rPr>
      </w:pPr>
      <w:r w:rsidDel="00000000" w:rsidR="00000000" w:rsidRPr="00000000">
        <w:rPr>
          <w:b w:val="1"/>
          <w:sz w:val="24"/>
          <w:szCs w:val="24"/>
          <w:highlight w:val="white"/>
          <w:rtl w:val="0"/>
        </w:rPr>
        <w:t xml:space="preserve">Roberta Assis - (11) 98420-3617</w:t>
      </w:r>
    </w:p>
    <w:p w:rsidR="00000000" w:rsidDel="00000000" w:rsidP="00000000" w:rsidRDefault="00000000" w:rsidRPr="00000000" w14:paraId="00000025">
      <w:pPr>
        <w:spacing w:after="0" w:line="360" w:lineRule="auto"/>
        <w:jc w:val="both"/>
        <w:rPr>
          <w:b w:val="1"/>
          <w:sz w:val="24"/>
          <w:szCs w:val="24"/>
          <w:highlight w:val="white"/>
        </w:rPr>
      </w:pPr>
      <w:r w:rsidDel="00000000" w:rsidR="00000000" w:rsidRPr="00000000">
        <w:rPr>
          <w:b w:val="1"/>
          <w:sz w:val="24"/>
          <w:szCs w:val="24"/>
          <w:highlight w:val="white"/>
          <w:rtl w:val="0"/>
        </w:rPr>
        <w:t xml:space="preserve">Guilherme Esteves - (11) 94240-8221</w:t>
      </w:r>
    </w:p>
    <w:p w:rsidR="00000000" w:rsidDel="00000000" w:rsidP="00000000" w:rsidRDefault="00000000" w:rsidRPr="00000000" w14:paraId="00000026">
      <w:pPr>
        <w:spacing w:after="0" w:line="360"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Ana Carolina Cachoni – (11) </w:t>
      </w:r>
      <w:r w:rsidDel="00000000" w:rsidR="00000000" w:rsidRPr="00000000">
        <w:rPr>
          <w:rFonts w:ascii="Calibri" w:cs="Calibri" w:eastAsia="Calibri" w:hAnsi="Calibri"/>
          <w:b w:val="1"/>
          <w:sz w:val="24"/>
          <w:szCs w:val="24"/>
          <w:rtl w:val="0"/>
        </w:rPr>
        <w:t xml:space="preserve">99394-8200</w:t>
      </w:r>
      <w:r w:rsidDel="00000000" w:rsidR="00000000" w:rsidRPr="00000000">
        <w:rPr>
          <w:rtl w:val="0"/>
        </w:rPr>
      </w:r>
    </w:p>
    <w:p w:rsidR="00000000" w:rsidDel="00000000" w:rsidP="00000000" w:rsidRDefault="00000000" w:rsidRPr="00000000" w14:paraId="00000027">
      <w:pPr>
        <w:spacing w:after="0" w:line="360" w:lineRule="auto"/>
        <w:jc w:val="both"/>
        <w:rPr>
          <w:rFonts w:ascii="Calibri" w:cs="Calibri" w:eastAsia="Calibri" w:hAnsi="Calibri"/>
          <w:b w:val="1"/>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1981200</wp:posOffset>
              </wp:positionH>
              <wp:positionV relativeFrom="paragraph">
                <wp:posOffset>0</wp:posOffset>
              </wp:positionV>
              <wp:extent cx="815340" cy="815340"/>
              <wp:effectExtent b="0" l="0" r="0" t="0"/>
              <wp:wrapSquare wrapText="bothSides" distB="0" distT="0" distL="0" distR="0"/>
              <wp:docPr descr="• PUBLIC 公開" id="273"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1981200</wp:posOffset>
              </wp:positionH>
              <wp:positionV relativeFrom="paragraph">
                <wp:posOffset>0</wp:posOffset>
              </wp:positionV>
              <wp:extent cx="815340" cy="815340"/>
              <wp:effectExtent b="0" l="0" r="0" t="0"/>
              <wp:wrapSquare wrapText="bothSides" distB="0" distT="0" distL="0" distR="0"/>
              <wp:docPr descr="• PUBLIC 公開" id="273" name="image3.png"/>
              <a:graphic>
                <a:graphicData uri="http://schemas.openxmlformats.org/drawingml/2006/picture">
                  <pic:pic>
                    <pic:nvPicPr>
                      <pic:cNvPr descr="• PUBLIC 公開" id="0" name="image3.png"/>
                      <pic:cNvPicPr preferRelativeResize="0"/>
                    </pic:nvPicPr>
                    <pic:blipFill>
                      <a:blip r:embed="rId1"/>
                      <a:srcRect/>
                      <a:stretch>
                        <a:fillRect/>
                      </a:stretch>
                    </pic:blipFill>
                    <pic:spPr>
                      <a:xfrm>
                        <a:off x="0" y="0"/>
                        <a:ext cx="815340" cy="81534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4257675</wp:posOffset>
          </wp:positionH>
          <wp:positionV relativeFrom="paragraph">
            <wp:posOffset>-335278</wp:posOffset>
          </wp:positionV>
          <wp:extent cx="1997456" cy="479108"/>
          <wp:effectExtent b="0" l="0" r="0" t="0"/>
          <wp:wrapSquare wrapText="bothSides" distB="114300" distT="114300" distL="114300" distR="114300"/>
          <wp:docPr id="27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97456" cy="479108"/>
                  </a:xfrm>
                  <a:prstGeom prst="rect"/>
                  <a:ln/>
                </pic:spPr>
              </pic:pic>
            </a:graphicData>
          </a:graphic>
        </wp:anchor>
      </w:drawing>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1981200</wp:posOffset>
              </wp:positionH>
              <wp:positionV relativeFrom="paragraph">
                <wp:posOffset>0</wp:posOffset>
              </wp:positionV>
              <wp:extent cx="815340" cy="815340"/>
              <wp:effectExtent b="0" l="0" r="0" t="0"/>
              <wp:wrapSquare wrapText="bothSides" distB="0" distT="0" distL="0" distR="0"/>
              <wp:docPr descr="• PUBLIC 公開" id="272"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1981200</wp:posOffset>
              </wp:positionH>
              <wp:positionV relativeFrom="paragraph">
                <wp:posOffset>0</wp:posOffset>
              </wp:positionV>
              <wp:extent cx="815340" cy="815340"/>
              <wp:effectExtent b="0" l="0" r="0" t="0"/>
              <wp:wrapSquare wrapText="bothSides" distB="0" distT="0" distL="0" distR="0"/>
              <wp:docPr descr="• PUBLIC 公開" id="272" name="image2.png"/>
              <a:graphic>
                <a:graphicData uri="http://schemas.openxmlformats.org/drawingml/2006/picture">
                  <pic:pic>
                    <pic:nvPicPr>
                      <pic:cNvPr descr="• PUBLIC 公開" id="0" name="image2.png"/>
                      <pic:cNvPicPr preferRelativeResize="0"/>
                    </pic:nvPicPr>
                    <pic:blipFill>
                      <a:blip r:embed="rId1"/>
                      <a:srcRect/>
                      <a:stretch>
                        <a:fillRect/>
                      </a:stretch>
                    </pic:blipFill>
                    <pic:spPr>
                      <a:xfrm>
                        <a:off x="0" y="0"/>
                        <a:ext cx="815340" cy="8153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52" w:customStyle="1">
    <w:name w:val="Table Normal52"/>
    <w:tblPr>
      <w:tblCellMar>
        <w:top w:w="0.0" w:type="dxa"/>
        <w:left w:w="0.0" w:type="dxa"/>
        <w:bottom w:w="0.0" w:type="dxa"/>
        <w:right w:w="0.0" w:type="dxa"/>
      </w:tblCellMar>
    </w:tblPr>
  </w:style>
  <w:style w:type="table" w:styleId="TableNormal51" w:customStyle="1">
    <w:name w:val="Table Normal51"/>
    <w:tblPr>
      <w:tblCellMar>
        <w:top w:w="0.0" w:type="dxa"/>
        <w:left w:w="0.0" w:type="dxa"/>
        <w:bottom w:w="0.0" w:type="dxa"/>
        <w:right w:w="0.0" w:type="dxa"/>
      </w:tblCellMar>
    </w:tblPr>
  </w:style>
  <w:style w:type="table" w:styleId="TableNormal50" w:customStyle="1">
    <w:name w:val="Table Normal50"/>
    <w:tblPr>
      <w:tblCellMar>
        <w:top w:w="0.0" w:type="dxa"/>
        <w:left w:w="0.0" w:type="dxa"/>
        <w:bottom w:w="0.0" w:type="dxa"/>
        <w:right w:w="0.0" w:type="dxa"/>
      </w:tblCellMar>
    </w:tblPr>
  </w:style>
  <w:style w:type="table" w:styleId="TableNormal49" w:customStyle="1">
    <w:name w:val="Table Normal49"/>
    <w:tblPr>
      <w:tblCellMar>
        <w:top w:w="0.0" w:type="dxa"/>
        <w:left w:w="0.0" w:type="dxa"/>
        <w:bottom w:w="0.0" w:type="dxa"/>
        <w:right w:w="0.0" w:type="dxa"/>
      </w:tblCellMar>
    </w:tblPr>
  </w:style>
  <w:style w:type="table" w:styleId="TableNormal48" w:customStyle="1">
    <w:name w:val="Table Normal48"/>
    <w:tblPr>
      <w:tblCellMar>
        <w:top w:w="0.0" w:type="dxa"/>
        <w:left w:w="0.0" w:type="dxa"/>
        <w:bottom w:w="0.0" w:type="dxa"/>
        <w:right w:w="0.0" w:type="dxa"/>
      </w:tblCellMar>
    </w:tblPr>
  </w:style>
  <w:style w:type="table" w:styleId="TableNormal47" w:customStyle="1">
    <w:name w:val="Table Normal47"/>
    <w:tblPr>
      <w:tblCellMar>
        <w:top w:w="0.0" w:type="dxa"/>
        <w:left w:w="0.0" w:type="dxa"/>
        <w:bottom w:w="0.0" w:type="dxa"/>
        <w:right w:w="0.0" w:type="dxa"/>
      </w:tblCellMar>
    </w:tblPr>
  </w:style>
  <w:style w:type="table" w:styleId="TableNormal46" w:customStyle="1">
    <w:name w:val="Table Normal46"/>
    <w:tblPr>
      <w:tblCellMar>
        <w:top w:w="0.0" w:type="dxa"/>
        <w:left w:w="0.0" w:type="dxa"/>
        <w:bottom w:w="0.0" w:type="dxa"/>
        <w:right w:w="0.0" w:type="dxa"/>
      </w:tblCellMar>
    </w:tblPr>
  </w:style>
  <w:style w:type="table" w:styleId="TableNormal45" w:customStyle="1">
    <w:name w:val="Table Normal45"/>
    <w:tblPr>
      <w:tblCellMar>
        <w:top w:w="0.0" w:type="dxa"/>
        <w:left w:w="0.0" w:type="dxa"/>
        <w:bottom w:w="0.0" w:type="dxa"/>
        <w:right w:w="0.0" w:type="dxa"/>
      </w:tblCellMar>
    </w:tblPr>
  </w:style>
  <w:style w:type="table" w:styleId="TableNormal44" w:customStyle="1">
    <w:name w:val="Table Normal44"/>
    <w:tblPr>
      <w:tblCellMar>
        <w:top w:w="0.0" w:type="dxa"/>
        <w:left w:w="0.0" w:type="dxa"/>
        <w:bottom w:w="0.0" w:type="dxa"/>
        <w:right w:w="0.0" w:type="dxa"/>
      </w:tblCellMar>
    </w:tblPr>
  </w:style>
  <w:style w:type="table" w:styleId="TableNormal43" w:customStyle="1">
    <w:name w:val="Table Normal43"/>
    <w:tblPr>
      <w:tblCellMar>
        <w:top w:w="0.0" w:type="dxa"/>
        <w:left w:w="0.0" w:type="dxa"/>
        <w:bottom w:w="0.0" w:type="dxa"/>
        <w:right w:w="0.0" w:type="dxa"/>
      </w:tblCellMar>
    </w:tblPr>
  </w:style>
  <w:style w:type="table" w:styleId="TableNormal42" w:customStyle="1">
    <w:name w:val="Table Normal42"/>
    <w:tblPr>
      <w:tblCellMar>
        <w:top w:w="0.0" w:type="dxa"/>
        <w:left w:w="0.0" w:type="dxa"/>
        <w:bottom w:w="0.0" w:type="dxa"/>
        <w:right w:w="0.0" w:type="dxa"/>
      </w:tblCellMar>
    </w:tblPr>
  </w:style>
  <w:style w:type="table" w:styleId="TableNormal41" w:customStyle="1">
    <w:name w:val="Table Normal41"/>
    <w:tblPr>
      <w:tblCellMar>
        <w:top w:w="0.0" w:type="dxa"/>
        <w:left w:w="0.0" w:type="dxa"/>
        <w:bottom w:w="0.0" w:type="dxa"/>
        <w:right w:w="0.0" w:type="dxa"/>
      </w:tblCellMar>
    </w:tblPr>
  </w:style>
  <w:style w:type="table" w:styleId="TableNormal40" w:customStyle="1">
    <w:name w:val="Table Normal40"/>
    <w:tblPr>
      <w:tblCellMar>
        <w:top w:w="0.0" w:type="dxa"/>
        <w:left w:w="0.0" w:type="dxa"/>
        <w:bottom w:w="0.0" w:type="dxa"/>
        <w:right w:w="0.0" w:type="dxa"/>
      </w:tblCellMar>
    </w:tblPr>
  </w:style>
  <w:style w:type="table" w:styleId="TableNormal39" w:customStyle="1">
    <w:name w:val="Table Normal39"/>
    <w:tblPr>
      <w:tblCellMar>
        <w:top w:w="0.0" w:type="dxa"/>
        <w:left w:w="0.0" w:type="dxa"/>
        <w:bottom w:w="0.0" w:type="dxa"/>
        <w:right w:w="0.0" w:type="dxa"/>
      </w:tblCellMar>
    </w:tblPr>
  </w:style>
  <w:style w:type="table" w:styleId="TableNormal38" w:customStyle="1">
    <w:name w:val="Table Normal38"/>
    <w:tblPr>
      <w:tblCellMar>
        <w:top w:w="0.0" w:type="dxa"/>
        <w:left w:w="0.0" w:type="dxa"/>
        <w:bottom w:w="0.0" w:type="dxa"/>
        <w:right w:w="0.0" w:type="dxa"/>
      </w:tblCellMar>
    </w:tblPr>
  </w:style>
  <w:style w:type="table" w:styleId="TableNormal37" w:customStyle="1">
    <w:name w:val="Table Normal37"/>
    <w:tblPr>
      <w:tblCellMar>
        <w:top w:w="0.0" w:type="dxa"/>
        <w:left w:w="0.0" w:type="dxa"/>
        <w:bottom w:w="0.0" w:type="dxa"/>
        <w:right w:w="0.0" w:type="dxa"/>
      </w:tblCellMar>
    </w:tblPr>
  </w:style>
  <w:style w:type="table" w:styleId="TableNormal36" w:customStyle="1">
    <w:name w:val="Table Normal36"/>
    <w:tblPr>
      <w:tblCellMar>
        <w:top w:w="0.0" w:type="dxa"/>
        <w:left w:w="0.0" w:type="dxa"/>
        <w:bottom w:w="0.0" w:type="dxa"/>
        <w:right w:w="0.0" w:type="dxa"/>
      </w:tblCellMar>
    </w:tblPr>
  </w:style>
  <w:style w:type="table" w:styleId="TableNormal35" w:customStyle="1">
    <w:name w:val="Table Normal35"/>
    <w:tblPr>
      <w:tblCellMar>
        <w:top w:w="0.0" w:type="dxa"/>
        <w:left w:w="0.0" w:type="dxa"/>
        <w:bottom w:w="0.0" w:type="dxa"/>
        <w:right w:w="0.0" w:type="dxa"/>
      </w:tblCellMar>
    </w:tblPr>
  </w:style>
  <w:style w:type="table" w:styleId="TableNormal34" w:customStyle="1">
    <w:name w:val="Table Normal34"/>
    <w:tblPr>
      <w:tblCellMar>
        <w:top w:w="0.0" w:type="dxa"/>
        <w:left w:w="0.0" w:type="dxa"/>
        <w:bottom w:w="0.0" w:type="dxa"/>
        <w:right w:w="0.0" w:type="dxa"/>
      </w:tblCellMar>
    </w:tblPr>
  </w:style>
  <w:style w:type="table" w:styleId="TableNormal33" w:customStyle="1">
    <w:name w:val="Table Normal33"/>
    <w:tblPr>
      <w:tblCellMar>
        <w:top w:w="0.0" w:type="dxa"/>
        <w:left w:w="0.0" w:type="dxa"/>
        <w:bottom w:w="0.0" w:type="dxa"/>
        <w:right w:w="0.0" w:type="dxa"/>
      </w:tblCellMar>
    </w:tblPr>
  </w:style>
  <w:style w:type="table" w:styleId="TableNormal32" w:customStyle="1">
    <w:name w:val="Table Normal32"/>
    <w:tblPr>
      <w:tblCellMar>
        <w:top w:w="0.0" w:type="dxa"/>
        <w:left w:w="0.0" w:type="dxa"/>
        <w:bottom w:w="0.0" w:type="dxa"/>
        <w:right w:w="0.0" w:type="dxa"/>
      </w:tblCellMar>
    </w:tblPr>
  </w:style>
  <w:style w:type="table" w:styleId="TableNormal31" w:customStyle="1">
    <w:name w:val="Table Normal31"/>
    <w:tblPr>
      <w:tblCellMar>
        <w:top w:w="0.0" w:type="dxa"/>
        <w:left w:w="0.0" w:type="dxa"/>
        <w:bottom w:w="0.0" w:type="dxa"/>
        <w:right w:w="0.0" w:type="dxa"/>
      </w:tblCellMar>
    </w:tblPr>
  </w:style>
  <w:style w:type="table" w:styleId="TableNormal30" w:customStyle="1">
    <w:name w:val="Table Normal30"/>
    <w:tblPr>
      <w:tblCellMar>
        <w:top w:w="0.0" w:type="dxa"/>
        <w:left w:w="0.0" w:type="dxa"/>
        <w:bottom w:w="0.0" w:type="dxa"/>
        <w:right w:w="0.0" w:type="dxa"/>
      </w:tblCellMar>
    </w:tblPr>
  </w:style>
  <w:style w:type="table" w:styleId="TableNormal29" w:customStyle="1">
    <w:name w:val="Table Normal29"/>
    <w:tblPr>
      <w:tblCellMar>
        <w:top w:w="0.0" w:type="dxa"/>
        <w:left w:w="0.0" w:type="dxa"/>
        <w:bottom w:w="0.0" w:type="dxa"/>
        <w:right w:w="0.0" w:type="dxa"/>
      </w:tblCellMar>
    </w:tblPr>
  </w:style>
  <w:style w:type="table" w:styleId="TableNormal28" w:customStyle="1">
    <w:name w:val="Table Normal28"/>
    <w:tblPr>
      <w:tblCellMar>
        <w:top w:w="0.0" w:type="dxa"/>
        <w:left w:w="0.0" w:type="dxa"/>
        <w:bottom w:w="0.0" w:type="dxa"/>
        <w:right w:w="0.0" w:type="dxa"/>
      </w:tblCellMar>
    </w:tblPr>
  </w:style>
  <w:style w:type="table" w:styleId="TableNormal27" w:customStyle="1">
    <w:name w:val="Table Normal27"/>
    <w:tblPr>
      <w:tblCellMar>
        <w:top w:w="0.0" w:type="dxa"/>
        <w:left w:w="0.0" w:type="dxa"/>
        <w:bottom w:w="0.0" w:type="dxa"/>
        <w:right w:w="0.0" w:type="dxa"/>
      </w:tblCellMar>
    </w:tblPr>
  </w:style>
  <w:style w:type="table" w:styleId="TableNormal26" w:customStyle="1">
    <w:name w:val="Table Normal26"/>
    <w:tblPr>
      <w:tblCellMar>
        <w:top w:w="0.0" w:type="dxa"/>
        <w:left w:w="0.0" w:type="dxa"/>
        <w:bottom w:w="0.0" w:type="dxa"/>
        <w:right w:w="0.0" w:type="dxa"/>
      </w:tblCellMar>
    </w:tblPr>
  </w:style>
  <w:style w:type="table" w:styleId="TableNormal25" w:customStyle="1">
    <w:name w:val="Table Normal25"/>
    <w:tblPr>
      <w:tblCellMar>
        <w:top w:w="0.0" w:type="dxa"/>
        <w:left w:w="0.0" w:type="dxa"/>
        <w:bottom w:w="0.0" w:type="dxa"/>
        <w:right w:w="0.0" w:type="dxa"/>
      </w:tblCellMar>
    </w:tblPr>
  </w:style>
  <w:style w:type="table" w:styleId="TableNormal24" w:customStyle="1">
    <w:name w:val="Table Normal24"/>
    <w:tblPr>
      <w:tblCellMar>
        <w:top w:w="0.0" w:type="dxa"/>
        <w:left w:w="0.0" w:type="dxa"/>
        <w:bottom w:w="0.0" w:type="dxa"/>
        <w:right w:w="0.0" w:type="dxa"/>
      </w:tblCellMar>
    </w:tblPr>
  </w:style>
  <w:style w:type="table" w:styleId="TableNormal23" w:customStyle="1">
    <w:name w:val="Table Normal23"/>
    <w:tblPr>
      <w:tblCellMar>
        <w:top w:w="0.0" w:type="dxa"/>
        <w:left w:w="0.0" w:type="dxa"/>
        <w:bottom w:w="0.0" w:type="dxa"/>
        <w:right w:w="0.0" w:type="dxa"/>
      </w:tblCellMar>
    </w:tblPr>
  </w:style>
  <w:style w:type="table" w:styleId="TableNormal22" w:customStyle="1">
    <w:name w:val="Table Normal22"/>
    <w:tblPr>
      <w:tblCellMar>
        <w:top w:w="0.0" w:type="dxa"/>
        <w:left w:w="0.0" w:type="dxa"/>
        <w:bottom w:w="0.0" w:type="dxa"/>
        <w:right w:w="0.0" w:type="dxa"/>
      </w:tblCellMar>
    </w:tblPr>
  </w:style>
  <w:style w:type="table" w:styleId="TableNormal21" w:customStyle="1">
    <w:name w:val="Table Normal21"/>
    <w:tblPr>
      <w:tblCellMar>
        <w:top w:w="0.0" w:type="dxa"/>
        <w:left w:w="0.0" w:type="dxa"/>
        <w:bottom w:w="0.0" w:type="dxa"/>
        <w:right w:w="0.0" w:type="dxa"/>
      </w:tblCellMar>
    </w:tblPr>
  </w:style>
  <w:style w:type="table" w:styleId="TableNormal20" w:customStyle="1">
    <w:name w:val="Table Normal20"/>
    <w:tblPr>
      <w:tblCellMar>
        <w:top w:w="0.0" w:type="dxa"/>
        <w:left w:w="0.0" w:type="dxa"/>
        <w:bottom w:w="0.0" w:type="dxa"/>
        <w:right w:w="0.0" w:type="dxa"/>
      </w:tblCellMar>
    </w:tblPr>
  </w:style>
  <w:style w:type="table" w:styleId="TableNormal19" w:customStyle="1">
    <w:name w:val="Table Normal19"/>
    <w:tblPr>
      <w:tblCellMar>
        <w:top w:w="0.0" w:type="dxa"/>
        <w:left w:w="0.0" w:type="dxa"/>
        <w:bottom w:w="0.0" w:type="dxa"/>
        <w:right w:w="0.0" w:type="dxa"/>
      </w:tblCellMar>
    </w:tblPr>
  </w:style>
  <w:style w:type="table" w:styleId="TableNormal18" w:customStyle="1">
    <w:name w:val="Table Normal18"/>
    <w:tblPr>
      <w:tblCellMar>
        <w:top w:w="0.0" w:type="dxa"/>
        <w:left w:w="0.0" w:type="dxa"/>
        <w:bottom w:w="0.0" w:type="dxa"/>
        <w:right w:w="0.0" w:type="dxa"/>
      </w:tblCellMar>
    </w:tblPr>
  </w:style>
  <w:style w:type="table" w:styleId="TableNormal17" w:customStyle="1">
    <w:name w:val="Table Normal17"/>
    <w:tblPr>
      <w:tblCellMar>
        <w:top w:w="0.0" w:type="dxa"/>
        <w:left w:w="0.0" w:type="dxa"/>
        <w:bottom w:w="0.0" w:type="dxa"/>
        <w:right w:w="0.0" w:type="dxa"/>
      </w:tblCellMar>
    </w:tblPr>
  </w:style>
  <w:style w:type="table" w:styleId="TableNormal16" w:customStyle="1">
    <w:name w:val="Table Normal16"/>
    <w:tblPr>
      <w:tblCellMar>
        <w:top w:w="0.0" w:type="dxa"/>
        <w:left w:w="0.0" w:type="dxa"/>
        <w:bottom w:w="0.0" w:type="dxa"/>
        <w:right w:w="0.0" w:type="dxa"/>
      </w:tblCellMar>
    </w:tblPr>
  </w:style>
  <w:style w:type="table" w:styleId="TableNormal15" w:customStyle="1">
    <w:name w:val="Table Normal15"/>
    <w:tblPr>
      <w:tblCellMar>
        <w:top w:w="0.0" w:type="dxa"/>
        <w:left w:w="0.0" w:type="dxa"/>
        <w:bottom w:w="0.0" w:type="dxa"/>
        <w:right w:w="0.0" w:type="dxa"/>
      </w:tblCellMar>
    </w:tblPr>
  </w:style>
  <w:style w:type="table" w:styleId="TableNormal14" w:customStyle="1">
    <w:name w:val="Table Normal14"/>
    <w:tblPr>
      <w:tblCellMar>
        <w:top w:w="0.0" w:type="dxa"/>
        <w:left w:w="0.0" w:type="dxa"/>
        <w:bottom w:w="0.0" w:type="dxa"/>
        <w:right w:w="0.0" w:type="dxa"/>
      </w:tblCellMar>
    </w:tblPr>
  </w:style>
  <w:style w:type="table" w:styleId="TableNormal13" w:customStyle="1">
    <w:name w:val="Table Normal13"/>
    <w:tblPr>
      <w:tblCellMar>
        <w:top w:w="0.0" w:type="dxa"/>
        <w:left w:w="0.0" w:type="dxa"/>
        <w:bottom w:w="0.0" w:type="dxa"/>
        <w:right w:w="0.0" w:type="dxa"/>
      </w:tblCellMar>
    </w:tblPr>
  </w:style>
  <w:style w:type="table" w:styleId="TableNormal12" w:customStyle="1">
    <w:name w:val="Table Normal12"/>
    <w:tblPr>
      <w:tblCellMar>
        <w:top w:w="0.0" w:type="dxa"/>
        <w:left w:w="0.0" w:type="dxa"/>
        <w:bottom w:w="0.0" w:type="dxa"/>
        <w:right w:w="0.0" w:type="dxa"/>
      </w:tblCellMar>
    </w:tblPr>
  </w:style>
  <w:style w:type="table" w:styleId="TableNormal11" w:customStyle="1">
    <w:name w:val="Table Normal11"/>
    <w:tblPr>
      <w:tblCellMar>
        <w:top w:w="0.0" w:type="dxa"/>
        <w:left w:w="0.0" w:type="dxa"/>
        <w:bottom w:w="0.0" w:type="dxa"/>
        <w:right w:w="0.0" w:type="dxa"/>
      </w:tblCellMar>
    </w:tblPr>
  </w:style>
  <w:style w:type="table" w:styleId="TableNormal10" w:customStyle="1">
    <w:name w:val="Table Normal10"/>
    <w:tblPr>
      <w:tblCellMar>
        <w:top w:w="0.0" w:type="dxa"/>
        <w:left w:w="0.0" w:type="dxa"/>
        <w:bottom w:w="0.0" w:type="dxa"/>
        <w:right w:w="0.0" w:type="dxa"/>
      </w:tblCellMar>
    </w:tblPr>
  </w:style>
  <w:style w:type="table" w:styleId="TableNormal9" w:customStyle="1">
    <w:name w:val="Table Normal9"/>
    <w:tblPr>
      <w:tblCellMar>
        <w:top w:w="0.0" w:type="dxa"/>
        <w:left w:w="0.0" w:type="dxa"/>
        <w:bottom w:w="0.0" w:type="dxa"/>
        <w:right w:w="0.0" w:type="dxa"/>
      </w:tblCellMar>
    </w:tblPr>
  </w:style>
  <w:style w:type="table" w:styleId="TableNormal8" w:customStyle="1">
    <w:name w:val="Table Normal8"/>
    <w:tblPr>
      <w:tblCellMar>
        <w:top w:w="0.0" w:type="dxa"/>
        <w:left w:w="0.0" w:type="dxa"/>
        <w:bottom w:w="0.0" w:type="dxa"/>
        <w:right w:w="0.0" w:type="dxa"/>
      </w:tblCellMar>
    </w:tblPr>
  </w:style>
  <w:style w:type="table" w:styleId="TableNormal7" w:customStyle="1">
    <w:name w:val="Table Normal7"/>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34005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40054"/>
  </w:style>
  <w:style w:type="paragraph" w:styleId="Rodap">
    <w:name w:val="footer"/>
    <w:basedOn w:val="Normal"/>
    <w:link w:val="RodapChar"/>
    <w:uiPriority w:val="99"/>
    <w:unhideWhenUsed w:val="1"/>
    <w:rsid w:val="00340054"/>
    <w:pPr>
      <w:tabs>
        <w:tab w:val="center" w:pos="4252"/>
        <w:tab w:val="right" w:pos="8504"/>
      </w:tabs>
      <w:spacing w:after="0" w:line="240" w:lineRule="auto"/>
    </w:pPr>
  </w:style>
  <w:style w:type="character" w:styleId="RodapChar" w:customStyle="1">
    <w:name w:val="Rodapé Char"/>
    <w:basedOn w:val="Fontepargpadro"/>
    <w:link w:val="Rodap"/>
    <w:uiPriority w:val="99"/>
    <w:rsid w:val="00340054"/>
  </w:style>
  <w:style w:type="paragraph" w:styleId="PargrafodaLista">
    <w:name w:val="List Paragraph"/>
    <w:basedOn w:val="Normal"/>
    <w:uiPriority w:val="34"/>
    <w:qFormat w:val="1"/>
    <w:rsid w:val="00FE679A"/>
    <w:pPr>
      <w:ind w:left="720"/>
      <w:contextualSpacing w:val="1"/>
    </w:pPr>
  </w:style>
  <w:style w:type="paragraph" w:styleId="Textodebalo">
    <w:name w:val="Balloon Text"/>
    <w:basedOn w:val="Normal"/>
    <w:link w:val="TextodebaloChar"/>
    <w:uiPriority w:val="99"/>
    <w:semiHidden w:val="1"/>
    <w:unhideWhenUsed w:val="1"/>
    <w:rsid w:val="00FE679A"/>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FE679A"/>
    <w:rPr>
      <w:rFonts w:ascii="Segoe UI" w:cs="Segoe UI" w:hAnsi="Segoe UI"/>
      <w:sz w:val="18"/>
      <w:szCs w:val="18"/>
    </w:rPr>
  </w:style>
  <w:style w:type="character" w:styleId="Refdecomentrio">
    <w:name w:val="annotation reference"/>
    <w:basedOn w:val="Fontepargpadro"/>
    <w:uiPriority w:val="99"/>
    <w:semiHidden w:val="1"/>
    <w:unhideWhenUsed w:val="1"/>
    <w:rsid w:val="00491CD6"/>
    <w:rPr>
      <w:sz w:val="16"/>
      <w:szCs w:val="16"/>
    </w:rPr>
  </w:style>
  <w:style w:type="paragraph" w:styleId="Textodecomentrio">
    <w:name w:val="annotation text"/>
    <w:basedOn w:val="Normal"/>
    <w:link w:val="TextodecomentrioChar"/>
    <w:uiPriority w:val="99"/>
    <w:unhideWhenUsed w:val="1"/>
    <w:rsid w:val="00491CD6"/>
    <w:pPr>
      <w:spacing w:line="240" w:lineRule="auto"/>
    </w:pPr>
    <w:rPr>
      <w:sz w:val="20"/>
      <w:szCs w:val="20"/>
    </w:rPr>
  </w:style>
  <w:style w:type="character" w:styleId="TextodecomentrioChar" w:customStyle="1">
    <w:name w:val="Texto de comentário Char"/>
    <w:basedOn w:val="Fontepargpadro"/>
    <w:link w:val="Textodecomentrio"/>
    <w:uiPriority w:val="99"/>
    <w:rsid w:val="00491CD6"/>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491CD6"/>
    <w:rPr>
      <w:b w:val="1"/>
      <w:bCs w:val="1"/>
    </w:rPr>
  </w:style>
  <w:style w:type="character" w:styleId="AssuntodocomentrioChar" w:customStyle="1">
    <w:name w:val="Assunto do comentário Char"/>
    <w:basedOn w:val="TextodecomentrioChar"/>
    <w:link w:val="Assuntodocomentrio"/>
    <w:uiPriority w:val="99"/>
    <w:semiHidden w:val="1"/>
    <w:rsid w:val="00491CD6"/>
    <w:rPr>
      <w:b w:val="1"/>
      <w:bCs w:val="1"/>
      <w:sz w:val="20"/>
      <w:szCs w:val="20"/>
    </w:rPr>
  </w:style>
  <w:style w:type="paragraph" w:styleId="NormalWeb">
    <w:name w:val="Normal (Web)"/>
    <w:basedOn w:val="Normal"/>
    <w:uiPriority w:val="99"/>
    <w:unhideWhenUsed w:val="1"/>
    <w:rsid w:val="00331BE4"/>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331BE4"/>
    <w:rPr>
      <w:b w:val="1"/>
      <w:bCs w:val="1"/>
    </w:rPr>
  </w:style>
  <w:style w:type="character" w:styleId="Hyperlink">
    <w:name w:val="Hyperlink"/>
    <w:basedOn w:val="Fontepargpadro"/>
    <w:uiPriority w:val="99"/>
    <w:unhideWhenUsed w:val="1"/>
    <w:rsid w:val="00331BE4"/>
    <w:rPr>
      <w:color w:val="0000ff"/>
      <w:u w:val="single"/>
    </w:rPr>
  </w:style>
  <w:style w:type="character" w:styleId="nfase">
    <w:name w:val="Emphasis"/>
    <w:basedOn w:val="Fontepargpadro"/>
    <w:uiPriority w:val="20"/>
    <w:qFormat w:val="1"/>
    <w:rsid w:val="00C47BCD"/>
    <w:rPr>
      <w:i w:val="1"/>
      <w:iCs w:val="1"/>
    </w:rPr>
  </w:style>
  <w:style w:type="character" w:styleId="MenoPendente1" w:customStyle="1">
    <w:name w:val="Menção Pendente1"/>
    <w:basedOn w:val="Fontepargpadro"/>
    <w:uiPriority w:val="99"/>
    <w:semiHidden w:val="1"/>
    <w:unhideWhenUsed w:val="1"/>
    <w:rsid w:val="00D269DC"/>
    <w:rPr>
      <w:color w:val="605e5c"/>
      <w:shd w:color="auto" w:fill="e1dfdd" w:val="clear"/>
    </w:rPr>
  </w:style>
  <w:style w:type="paragraph" w:styleId="Reviso">
    <w:name w:val="Revision"/>
    <w:hidden w:val="1"/>
    <w:uiPriority w:val="99"/>
    <w:semiHidden w:val="1"/>
    <w:rsid w:val="00BE7AAB"/>
    <w:pPr>
      <w:spacing w:after="0" w:line="240" w:lineRule="auto"/>
    </w:pPr>
  </w:style>
  <w:style w:type="character" w:styleId="MenoPendente2" w:customStyle="1">
    <w:name w:val="Menção Pendente2"/>
    <w:basedOn w:val="Fontepargpadro"/>
    <w:uiPriority w:val="99"/>
    <w:semiHidden w:val="1"/>
    <w:unhideWhenUsed w:val="1"/>
    <w:rsid w:val="008275AB"/>
    <w:rPr>
      <w:color w:val="605e5c"/>
      <w:shd w:color="auto" w:fill="e1dfdd" w:val="clear"/>
    </w:rPr>
  </w:style>
  <w:style w:type="character" w:styleId="MenoPendente3" w:customStyle="1">
    <w:name w:val="Menção Pendente3"/>
    <w:basedOn w:val="Fontepargpadro"/>
    <w:uiPriority w:val="99"/>
    <w:semiHidden w:val="1"/>
    <w:unhideWhenUsed w:val="1"/>
    <w:rsid w:val="002E5B2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osantos@toyota.com.br"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dxYVA/2/3CICQVogUyoa9Xb4cQ==">CgMxLjA4AHIhMXhoSUpYaUF4dUw5Qnc2LW1fVFNURGRfNm5FVW8xcnpK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2023-11-06T20:48:00Z</dcterms:created>
  <dc:creator>fernando.irribarra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2022-06-01T17:14:08Z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99fc1fa2-5bfd-4d6d-900e-54aa88779821</vt:lpwstr>
  </property>
  <property fmtid="{D5CDD505-2E9C-101B-9397-08002B2CF9AE}" pid="11" name="MSIP_Label_023e975b-7b34-49da-9033-9c8f8f7bcde3_ContentBits">
    <vt:lpwstr>1</vt:lpwstr>
  </property>
</Properties>
</file>