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5440B" w14:textId="77777777" w:rsidR="000B3224" w:rsidRDefault="000B3224">
      <w:pPr>
        <w:spacing w:after="160" w:line="259" w:lineRule="auto"/>
        <w:jc w:val="center"/>
        <w:rPr>
          <w:rFonts w:ascii="Calibri" w:eastAsia="Calibri" w:hAnsi="Calibri" w:cs="Calibri"/>
          <w:b/>
          <w:bCs/>
          <w:sz w:val="40"/>
          <w:szCs w:val="40"/>
        </w:rPr>
      </w:pPr>
    </w:p>
    <w:p w14:paraId="0A3012B8" w14:textId="77777777" w:rsidR="000B3224" w:rsidRDefault="00000000">
      <w:pPr>
        <w:spacing w:after="160" w:line="259" w:lineRule="auto"/>
        <w:jc w:val="center"/>
        <w:rPr>
          <w:rFonts w:ascii="Calibri" w:eastAsia="Calibri" w:hAnsi="Calibri" w:cs="Calibri"/>
          <w:b/>
          <w:bCs/>
          <w:sz w:val="40"/>
          <w:szCs w:val="40"/>
        </w:rPr>
      </w:pPr>
      <w:r>
        <w:rPr>
          <w:rFonts w:ascii="Calibri" w:eastAsia="Calibri" w:hAnsi="Calibri" w:cs="Calibri"/>
          <w:b/>
          <w:bCs/>
          <w:sz w:val="40"/>
          <w:szCs w:val="40"/>
        </w:rPr>
        <w:t>Lexus mantém trajetória de crescimento no Brasil e é a única marca Premium a ampliar emplacamentos em maio no País</w:t>
      </w:r>
    </w:p>
    <w:p w14:paraId="714AE393" w14:textId="77777777" w:rsidR="000B3224" w:rsidRDefault="000B3224">
      <w:pPr>
        <w:spacing w:line="259" w:lineRule="auto"/>
        <w:ind w:left="720"/>
        <w:jc w:val="both"/>
        <w:rPr>
          <w:rFonts w:ascii="Calibri" w:eastAsia="Calibri" w:hAnsi="Calibri" w:cs="Calibri"/>
          <w:i/>
          <w:iCs/>
          <w:sz w:val="24"/>
          <w:szCs w:val="24"/>
        </w:rPr>
      </w:pPr>
    </w:p>
    <w:p w14:paraId="61096A39" w14:textId="77777777" w:rsidR="000B3224" w:rsidRDefault="00000000">
      <w:pPr>
        <w:numPr>
          <w:ilvl w:val="0"/>
          <w:numId w:val="1"/>
        </w:numPr>
        <w:spacing w:line="259" w:lineRule="auto"/>
        <w:jc w:val="both"/>
        <w:rPr>
          <w:rFonts w:ascii="Calibri" w:eastAsia="Calibri" w:hAnsi="Calibri" w:cs="Calibri"/>
          <w:i/>
          <w:iCs/>
          <w:sz w:val="24"/>
          <w:szCs w:val="24"/>
        </w:rPr>
      </w:pPr>
      <w:r>
        <w:rPr>
          <w:rFonts w:ascii="Calibri" w:eastAsia="Calibri" w:hAnsi="Calibri" w:cs="Calibri"/>
          <w:i/>
          <w:iCs/>
          <w:sz w:val="24"/>
          <w:szCs w:val="24"/>
        </w:rPr>
        <w:t>Marca registrou alta de 23,5% em comparação ao mesmo período de 2025</w:t>
      </w:r>
    </w:p>
    <w:p w14:paraId="413CF53B" w14:textId="77777777" w:rsidR="000B3224" w:rsidRDefault="00000000">
      <w:pPr>
        <w:numPr>
          <w:ilvl w:val="0"/>
          <w:numId w:val="1"/>
        </w:numPr>
        <w:spacing w:line="259" w:lineRule="auto"/>
        <w:jc w:val="both"/>
        <w:rPr>
          <w:rFonts w:ascii="Calibri" w:eastAsia="Calibri" w:hAnsi="Calibri" w:cs="Calibri"/>
          <w:i/>
          <w:iCs/>
          <w:sz w:val="24"/>
          <w:szCs w:val="24"/>
        </w:rPr>
      </w:pPr>
      <w:r>
        <w:rPr>
          <w:rFonts w:ascii="Calibri" w:eastAsia="Calibri" w:hAnsi="Calibri" w:cs="Calibri"/>
          <w:i/>
          <w:iCs/>
          <w:sz w:val="24"/>
          <w:szCs w:val="24"/>
        </w:rPr>
        <w:t>No ano passado, Lexus bateu recorde histórico de vendas no Brasil</w:t>
      </w:r>
    </w:p>
    <w:p w14:paraId="5A98C12F" w14:textId="77777777" w:rsidR="000B3224" w:rsidRDefault="00000000">
      <w:pPr>
        <w:numPr>
          <w:ilvl w:val="0"/>
          <w:numId w:val="1"/>
        </w:numPr>
        <w:spacing w:line="259" w:lineRule="auto"/>
        <w:jc w:val="both"/>
        <w:rPr>
          <w:rFonts w:ascii="Calibri" w:eastAsia="Calibri" w:hAnsi="Calibri" w:cs="Calibri"/>
          <w:i/>
          <w:iCs/>
          <w:sz w:val="24"/>
          <w:szCs w:val="24"/>
        </w:rPr>
      </w:pPr>
      <w:r>
        <w:rPr>
          <w:rFonts w:ascii="Calibri" w:eastAsia="Calibri" w:hAnsi="Calibri" w:cs="Calibri"/>
          <w:i/>
          <w:iCs/>
          <w:sz w:val="24"/>
          <w:szCs w:val="24"/>
        </w:rPr>
        <w:t>Crescimento da marca é sustentável e constante desde 2022</w:t>
      </w:r>
    </w:p>
    <w:p w14:paraId="3137FF5E" w14:textId="77777777" w:rsidR="000B3224" w:rsidRDefault="00000000">
      <w:pPr>
        <w:numPr>
          <w:ilvl w:val="0"/>
          <w:numId w:val="1"/>
        </w:numPr>
        <w:spacing w:line="259" w:lineRule="auto"/>
        <w:jc w:val="both"/>
        <w:rPr>
          <w:rFonts w:ascii="Calibri" w:eastAsia="Calibri" w:hAnsi="Calibri" w:cs="Calibri"/>
          <w:i/>
          <w:iCs/>
          <w:sz w:val="24"/>
          <w:szCs w:val="24"/>
        </w:rPr>
      </w:pPr>
      <w:r>
        <w:rPr>
          <w:rFonts w:ascii="Calibri" w:eastAsia="Calibri" w:hAnsi="Calibri" w:cs="Calibri"/>
          <w:i/>
          <w:iCs/>
          <w:sz w:val="24"/>
          <w:szCs w:val="24"/>
        </w:rPr>
        <w:t>Lexus RZ 500e teve metade das vendas do ano concluídas antes de chegar às concessionárias</w:t>
      </w:r>
    </w:p>
    <w:p w14:paraId="4C4C8414" w14:textId="77777777" w:rsidR="000B3224" w:rsidRDefault="000B3224">
      <w:pPr>
        <w:spacing w:after="160" w:line="259" w:lineRule="auto"/>
        <w:jc w:val="both"/>
        <w:rPr>
          <w:rFonts w:ascii="Calibri" w:eastAsia="Calibri" w:hAnsi="Calibri" w:cs="Calibri"/>
          <w:b/>
          <w:bCs/>
          <w:sz w:val="24"/>
          <w:szCs w:val="24"/>
        </w:rPr>
      </w:pPr>
    </w:p>
    <w:p w14:paraId="2E73BF52" w14:textId="7103D914" w:rsidR="000B3224" w:rsidRDefault="00000000">
      <w:pPr>
        <w:spacing w:after="160" w:line="259" w:lineRule="auto"/>
        <w:jc w:val="both"/>
        <w:rPr>
          <w:rFonts w:ascii="Calibri" w:eastAsia="Calibri" w:hAnsi="Calibri" w:cs="Calibri"/>
          <w:sz w:val="24"/>
          <w:szCs w:val="24"/>
        </w:rPr>
      </w:pPr>
      <w:r>
        <w:rPr>
          <w:rFonts w:ascii="Calibri" w:eastAsia="Calibri" w:hAnsi="Calibri" w:cs="Calibri"/>
          <w:b/>
          <w:bCs/>
          <w:sz w:val="24"/>
          <w:szCs w:val="24"/>
        </w:rPr>
        <w:t xml:space="preserve">São Paulo, </w:t>
      </w:r>
      <w:r w:rsidR="00195134">
        <w:rPr>
          <w:rFonts w:ascii="Calibri" w:eastAsia="Calibri" w:hAnsi="Calibri" w:cs="Calibri"/>
          <w:b/>
          <w:bCs/>
          <w:sz w:val="24"/>
          <w:szCs w:val="24"/>
        </w:rPr>
        <w:t>22</w:t>
      </w:r>
      <w:r>
        <w:rPr>
          <w:rFonts w:ascii="Calibri" w:eastAsia="Calibri" w:hAnsi="Calibri" w:cs="Calibri"/>
          <w:b/>
          <w:bCs/>
          <w:sz w:val="24"/>
          <w:szCs w:val="24"/>
        </w:rPr>
        <w:t xml:space="preserve"> de junho de 2026 - </w:t>
      </w:r>
      <w:r>
        <w:rPr>
          <w:rFonts w:ascii="Calibri" w:eastAsia="Calibri" w:hAnsi="Calibri" w:cs="Calibri"/>
          <w:sz w:val="24"/>
          <w:szCs w:val="24"/>
        </w:rPr>
        <w:t>A Lexus foi a única marca automotiva do segmento Premium a registrar crescimento no volume de emplacamentos no Brasil em maio. No mês, a fabricante avançou 23,5% em relação ao mesmo período do ano passado.</w:t>
      </w:r>
    </w:p>
    <w:p w14:paraId="297F6E47" w14:textId="77777777" w:rsidR="000B3224"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O desempenho reforça a continuidade do ciclo de expansão da Lexus. Em 2025, as vendas totais cresceram 27% na comparação com 2024 - um recorde histórico. O ano de 2024 já havia registrado alta de 23% frente a 2023.</w:t>
      </w:r>
    </w:p>
    <w:p w14:paraId="18B66A32" w14:textId="77777777" w:rsidR="000B3224"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“Esse crescimento constante reflete a atenção que temos com nosso cliente durante toda sua jornada dentro da marca. E, neste sentido, o lançamento do</w:t>
      </w:r>
      <w:r>
        <w:rPr>
          <w:rFonts w:ascii="Calibri" w:eastAsia="Calibri" w:hAnsi="Calibri" w:cs="Calibri"/>
          <w:b/>
          <w:bCs/>
          <w:sz w:val="24"/>
          <w:szCs w:val="24"/>
        </w:rPr>
        <w:t xml:space="preserve"> </w:t>
      </w:r>
      <w:r>
        <w:rPr>
          <w:rFonts w:ascii="Calibri" w:eastAsia="Calibri" w:hAnsi="Calibri" w:cs="Calibri"/>
          <w:sz w:val="24"/>
          <w:szCs w:val="24"/>
        </w:rPr>
        <w:t xml:space="preserve">Lexus RZ 500e reforça nosso compromisso em oferecer uma experiência incomparável por meio de programas como o </w:t>
      </w:r>
      <w:r>
        <w:rPr>
          <w:rFonts w:ascii="Calibri" w:eastAsia="Calibri" w:hAnsi="Calibri" w:cs="Calibri"/>
          <w:i/>
          <w:iCs/>
          <w:sz w:val="24"/>
          <w:szCs w:val="24"/>
        </w:rPr>
        <w:t>Lexus Privilege</w:t>
      </w:r>
      <w:r>
        <w:rPr>
          <w:rFonts w:ascii="Calibri" w:eastAsia="Calibri" w:hAnsi="Calibri" w:cs="Calibri"/>
          <w:sz w:val="24"/>
          <w:szCs w:val="24"/>
        </w:rPr>
        <w:t>, que traz financiamento com taxa de juros a partir de 0% e recompra garantida com pelo menos 80% do valor da tabela FIPE”, afirma Nancy Serapião, Head da Lexus no Brasil.</w:t>
      </w:r>
    </w:p>
    <w:p w14:paraId="2914AFD2" w14:textId="77777777" w:rsidR="000B3224"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O Lexus RZ 500e, primeiro veículo 100% elétrico da marca no Brasil, foi lançado já com metade das vendas concluídas antes de chegar às concessionárias. Esse sucesso demonstra a confiança do consumidor, sustentada por exclusividades como o </w:t>
      </w:r>
      <w:r>
        <w:rPr>
          <w:rFonts w:ascii="Calibri" w:eastAsia="Calibri" w:hAnsi="Calibri" w:cs="Calibri"/>
          <w:i/>
          <w:iCs/>
          <w:sz w:val="24"/>
          <w:szCs w:val="24"/>
        </w:rPr>
        <w:t>LexusCare</w:t>
      </w:r>
      <w:r>
        <w:rPr>
          <w:rFonts w:ascii="Calibri" w:eastAsia="Calibri" w:hAnsi="Calibri" w:cs="Calibri"/>
          <w:sz w:val="24"/>
          <w:szCs w:val="24"/>
        </w:rPr>
        <w:t xml:space="preserve">, que reúne serviços padronizados e um atendimento de pós-venda premium; e o suporte da ampla rede Toyota para serviços e atendimentos emergenciais — um diferencial que confere à Lexus uma das mais amplas capilaridades de atendimento entre as marcas do segmento premium no Brasil. </w:t>
      </w:r>
    </w:p>
    <w:p w14:paraId="19A9D2D9" w14:textId="77777777" w:rsidR="000B3224"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Nos últimos anos, seis concessionárias foram inauguradas, alcançando um total de 15 pontos de venda no Brasil, com presença em mais de 90% do mercado premium do País. São três unidades em São Paulo (SP), além de Alphaville (SP), Campinas (SP), Belo Horizonte (MG), Brasília (DF), Curitiba (PR), Florianópolis (SC), Fortaleza (CE), Porto Alegre (RS), Rio de Janeiro (RJ), Recife (PE), Salvador (BA), Vitória (ES). </w:t>
      </w:r>
    </w:p>
    <w:p w14:paraId="230A9438" w14:textId="77777777" w:rsidR="000B3224" w:rsidRDefault="000B3224">
      <w:pPr>
        <w:spacing w:after="160" w:line="259" w:lineRule="auto"/>
        <w:jc w:val="both"/>
        <w:rPr>
          <w:rFonts w:ascii="Calibri" w:eastAsia="Calibri" w:hAnsi="Calibri" w:cs="Calibri"/>
          <w:sz w:val="24"/>
          <w:szCs w:val="24"/>
        </w:rPr>
      </w:pPr>
    </w:p>
    <w:p w14:paraId="67E4E376" w14:textId="77777777" w:rsidR="000B3224" w:rsidRDefault="00000000">
      <w:pPr>
        <w:spacing w:after="160" w:line="259" w:lineRule="auto"/>
        <w:jc w:val="both"/>
        <w:rPr>
          <w:rFonts w:ascii="Calibri" w:eastAsia="Calibri" w:hAnsi="Calibri" w:cs="Calibri"/>
          <w:i/>
          <w:iCs/>
          <w:sz w:val="24"/>
          <w:szCs w:val="24"/>
        </w:rPr>
      </w:pPr>
      <w:r>
        <w:rPr>
          <w:rFonts w:ascii="Calibri" w:eastAsia="Calibri" w:hAnsi="Calibri" w:cs="Calibri"/>
          <w:b/>
          <w:bCs/>
          <w:i/>
          <w:iCs/>
          <w:sz w:val="24"/>
          <w:szCs w:val="24"/>
        </w:rPr>
        <w:lastRenderedPageBreak/>
        <w:t>Sobre a Lexus</w:t>
      </w:r>
      <w:r>
        <w:rPr>
          <w:rFonts w:ascii="Calibri" w:eastAsia="Calibri" w:hAnsi="Calibri" w:cs="Calibri"/>
          <w:i/>
          <w:iCs/>
          <w:sz w:val="24"/>
          <w:szCs w:val="24"/>
        </w:rPr>
        <w:br/>
        <w:t>Desde a sua estreia, em 1989, a Lexus conquistou sólida reputação por seus produtos de alta qualidade e pelo excelente nível de atendimento prestado aos clientes. Em seu início, a Lexus disponibiliza dois sedãs de luxo e o compromisso com a busca pela perfeição. Desde aquela época, a Lexus tem expandido sua linha de produtos para atender clientes do mercado de luxo em todo o mundo. Atualmente, a marca vai além de sua reputação de veículos de alta qualidade, com a integração de tecnologias inovadoras, como a Lexus Hybrid Drive, que conquistou a liderança no segmento de luxo híbrido.</w:t>
      </w:r>
    </w:p>
    <w:p w14:paraId="52F70BC5" w14:textId="77777777" w:rsidR="000B3224"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 </w:t>
      </w:r>
    </w:p>
    <w:p w14:paraId="6A8B5F9A" w14:textId="77777777" w:rsidR="000B3224" w:rsidRDefault="00000000">
      <w:pPr>
        <w:spacing w:after="160" w:line="259" w:lineRule="auto"/>
        <w:rPr>
          <w:rFonts w:ascii="Calibri" w:eastAsia="Calibri" w:hAnsi="Calibri" w:cs="Calibri"/>
          <w:color w:val="467886"/>
          <w:sz w:val="24"/>
          <w:szCs w:val="24"/>
        </w:rPr>
      </w:pPr>
      <w:r>
        <w:rPr>
          <w:rFonts w:ascii="Calibri" w:eastAsia="Calibri" w:hAnsi="Calibri" w:cs="Calibri"/>
          <w:b/>
          <w:bCs/>
          <w:sz w:val="24"/>
          <w:szCs w:val="24"/>
        </w:rPr>
        <w:t>Mais informações Lexus Brasil – Comunicação de Produto</w:t>
      </w:r>
      <w:r>
        <w:rPr>
          <w:rFonts w:ascii="Calibri" w:eastAsia="Calibri" w:hAnsi="Calibri" w:cs="Calibri"/>
          <w:b/>
          <w:bCs/>
          <w:sz w:val="24"/>
          <w:szCs w:val="24"/>
        </w:rPr>
        <w:br/>
      </w:r>
      <w:r>
        <w:rPr>
          <w:rFonts w:ascii="Calibri" w:eastAsia="Calibri" w:hAnsi="Calibri" w:cs="Calibri"/>
          <w:sz w:val="24"/>
          <w:szCs w:val="24"/>
        </w:rPr>
        <w:t xml:space="preserve">Belisa Frangione - </w:t>
      </w:r>
      <w:hyperlink r:id="rId8">
        <w:r>
          <w:rPr>
            <w:rFonts w:ascii="Calibri" w:eastAsia="Calibri" w:hAnsi="Calibri" w:cs="Calibri"/>
            <w:color w:val="0000FF"/>
            <w:sz w:val="24"/>
            <w:szCs w:val="24"/>
            <w:u w:val="single"/>
          </w:rPr>
          <w:t>belisa.vieira@toyota.com.br</w:t>
        </w:r>
      </w:hyperlink>
      <w:r>
        <w:rPr>
          <w:rFonts w:ascii="Calibri" w:eastAsia="Calibri" w:hAnsi="Calibri" w:cs="Calibri"/>
          <w:sz w:val="24"/>
          <w:szCs w:val="24"/>
        </w:rPr>
        <w:t xml:space="preserve"> </w:t>
      </w:r>
      <w:r>
        <w:rPr>
          <w:rFonts w:ascii="Calibri" w:eastAsia="Calibri" w:hAnsi="Calibri" w:cs="Calibri"/>
          <w:color w:val="467886"/>
          <w:sz w:val="24"/>
          <w:szCs w:val="24"/>
        </w:rPr>
        <w:br/>
      </w:r>
      <w:r>
        <w:rPr>
          <w:rFonts w:ascii="Calibri" w:eastAsia="Calibri" w:hAnsi="Calibri" w:cs="Calibri"/>
          <w:sz w:val="24"/>
          <w:szCs w:val="24"/>
        </w:rPr>
        <w:t xml:space="preserve">Gabriela Dallacqua – </w:t>
      </w:r>
      <w:hyperlink r:id="rId9">
        <w:r>
          <w:rPr>
            <w:rFonts w:ascii="Calibri" w:eastAsia="Calibri" w:hAnsi="Calibri" w:cs="Calibri"/>
            <w:color w:val="1155CC"/>
            <w:sz w:val="24"/>
            <w:szCs w:val="24"/>
            <w:u w:val="single"/>
          </w:rPr>
          <w:t>gabriela.lello@toyota.com.br</w:t>
        </w:r>
      </w:hyperlink>
    </w:p>
    <w:p w14:paraId="7FDF8B61" w14:textId="77777777" w:rsidR="000B3224" w:rsidRDefault="00000000">
      <w:pPr>
        <w:spacing w:after="160" w:line="259" w:lineRule="auto"/>
        <w:rPr>
          <w:rFonts w:ascii="Calibri" w:eastAsia="Calibri" w:hAnsi="Calibri" w:cs="Calibri"/>
          <w:color w:val="467886"/>
          <w:sz w:val="24"/>
          <w:szCs w:val="24"/>
        </w:rPr>
      </w:pPr>
      <w:r>
        <w:rPr>
          <w:rFonts w:ascii="Calibri" w:eastAsia="Calibri" w:hAnsi="Calibri" w:cs="Calibri"/>
          <w:b/>
          <w:bCs/>
          <w:sz w:val="24"/>
          <w:szCs w:val="24"/>
        </w:rPr>
        <w:t>Giusti Creative PR</w:t>
      </w:r>
      <w:r>
        <w:rPr>
          <w:rFonts w:ascii="Calibri" w:eastAsia="Calibri" w:hAnsi="Calibri" w:cs="Calibri"/>
          <w:b/>
          <w:bCs/>
          <w:sz w:val="24"/>
          <w:szCs w:val="24"/>
        </w:rPr>
        <w:br/>
      </w:r>
      <w:hyperlink r:id="rId10">
        <w:r>
          <w:rPr>
            <w:rFonts w:ascii="Calibri" w:eastAsia="Calibri" w:hAnsi="Calibri" w:cs="Calibri"/>
            <w:color w:val="1155CC"/>
            <w:sz w:val="24"/>
            <w:szCs w:val="24"/>
            <w:u w:val="single"/>
          </w:rPr>
          <w:t>toyota@giusticom.com.br</w:t>
        </w:r>
      </w:hyperlink>
      <w:r>
        <w:rPr>
          <w:rFonts w:ascii="Calibri" w:eastAsia="Calibri" w:hAnsi="Calibri" w:cs="Calibri"/>
          <w:color w:val="467886"/>
          <w:sz w:val="24"/>
          <w:szCs w:val="24"/>
        </w:rPr>
        <w:t xml:space="preserve"> </w:t>
      </w:r>
    </w:p>
    <w:p w14:paraId="3DF312C8" w14:textId="77777777" w:rsidR="000B3224" w:rsidRDefault="000B3224">
      <w:pPr>
        <w:spacing w:before="240" w:after="240" w:line="259" w:lineRule="auto"/>
        <w:rPr>
          <w:rFonts w:ascii="Calibri" w:eastAsia="Calibri" w:hAnsi="Calibri" w:cs="Calibri"/>
          <w:b/>
          <w:bCs/>
          <w:sz w:val="24"/>
          <w:szCs w:val="24"/>
          <w:highlight w:val="white"/>
        </w:rPr>
      </w:pPr>
    </w:p>
    <w:p w14:paraId="312456F4" w14:textId="77777777" w:rsidR="000B3224" w:rsidRDefault="000B3224"/>
    <w:sectPr w:rsidR="000B3224">
      <w:headerReference w:type="even" r:id="rId11"/>
      <w:headerReference w:type="default" r:id="rId12"/>
      <w:head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04CC6" w14:textId="77777777" w:rsidR="00F04FA3" w:rsidRDefault="00F04FA3">
      <w:pPr>
        <w:spacing w:line="240" w:lineRule="auto"/>
      </w:pPr>
      <w:r>
        <w:separator/>
      </w:r>
    </w:p>
  </w:endnote>
  <w:endnote w:type="continuationSeparator" w:id="0">
    <w:p w14:paraId="02EB7662" w14:textId="77777777" w:rsidR="00F04FA3" w:rsidRDefault="00F04F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50853A-FD06-42A5-B1F5-68853563CD2A}"/>
    <w:embedBold r:id="rId2" w:fontKey="{2C1AB3F0-B3D2-4752-8063-BCF1B3E776FE}"/>
    <w:embedItalic r:id="rId3" w:fontKey="{B1433083-2EDB-4BA0-A2CA-1298035D3D61}"/>
    <w:embedBoldItalic r:id="rId4" w:fontKey="{EE78B7C4-AE86-499A-A61A-DEE82745AE9E}"/>
  </w:font>
  <w:font w:name="Aptos">
    <w:charset w:val="00"/>
    <w:family w:val="swiss"/>
    <w:pitch w:val="variable"/>
    <w:sig w:usb0="20000287" w:usb1="00000003" w:usb2="00000000" w:usb3="00000000" w:csb0="0000019F" w:csb1="00000000"/>
    <w:embedRegular r:id="rId5" w:fontKey="{A2BB1146-BA62-4360-8151-6AB6799DD71B}"/>
  </w:font>
  <w:font w:name="Cambria">
    <w:panose1 w:val="02040503050406030204"/>
    <w:charset w:val="00"/>
    <w:family w:val="roman"/>
    <w:pitch w:val="variable"/>
    <w:sig w:usb0="E00006FF" w:usb1="420024FF" w:usb2="02000000" w:usb3="00000000" w:csb0="0000019F" w:csb1="00000000"/>
    <w:embedRegular r:id="rId6" w:fontKey="{20BC1CB4-C8EC-4D8E-A305-A4155EEE99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0A19B" w14:textId="77777777" w:rsidR="00F04FA3" w:rsidRDefault="00F04FA3">
      <w:pPr>
        <w:spacing w:line="240" w:lineRule="auto"/>
      </w:pPr>
      <w:r>
        <w:separator/>
      </w:r>
    </w:p>
  </w:footnote>
  <w:footnote w:type="continuationSeparator" w:id="0">
    <w:p w14:paraId="31BE805E" w14:textId="77777777" w:rsidR="00F04FA3" w:rsidRDefault="00F04F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101F" w14:textId="77777777" w:rsidR="000B3224" w:rsidRDefault="00000000">
    <w:pPr>
      <w:pBdr>
        <w:top w:val="nil"/>
        <w:left w:val="nil"/>
        <w:bottom w:val="nil"/>
        <w:right w:val="nil"/>
        <w:between w:val="nil"/>
      </w:pBdr>
      <w:tabs>
        <w:tab w:val="center" w:pos="4252"/>
        <w:tab w:val="right" w:pos="8504"/>
      </w:tabs>
      <w:spacing w:line="240" w:lineRule="auto"/>
      <w:rPr>
        <w:color w:val="000000"/>
      </w:rPr>
    </w:pPr>
    <w:r>
      <w:rPr>
        <w:noProof/>
        <w:color w:val="000000"/>
      </w:rPr>
      <mc:AlternateContent>
        <mc:Choice Requires="wpg">
          <w:drawing>
            <wp:anchor distT="0" distB="0" distL="0" distR="0" simplePos="0" relativeHeight="251660288" behindDoc="0" locked="0" layoutInCell="1" hidden="0" allowOverlap="1" wp14:anchorId="64879542" wp14:editId="4075E436">
              <wp:simplePos x="0" y="0"/>
              <wp:positionH relativeFrom="page">
                <wp:align>center</wp:align>
              </wp:positionH>
              <wp:positionV relativeFrom="page">
                <wp:align>top</wp:align>
              </wp:positionV>
              <wp:extent cx="1506220" cy="398780"/>
              <wp:effectExtent l="0" t="0" r="0" b="0"/>
              <wp:wrapNone/>
              <wp:docPr id="3" name="Retângulo 3" descr="•• PROTECTED 関係者外秘"/>
              <wp:cNvGraphicFramePr/>
              <a:graphic xmlns:a="http://schemas.openxmlformats.org/drawingml/2006/main">
                <a:graphicData uri="http://schemas.microsoft.com/office/word/2010/wordprocessingShape">
                  <wps:wsp>
                    <wps:cNvSpPr/>
                    <wps:spPr>
                      <a:xfrm>
                        <a:off x="4602415" y="3590135"/>
                        <a:ext cx="1487170" cy="379730"/>
                      </a:xfrm>
                      <a:prstGeom prst="rect">
                        <a:avLst/>
                      </a:prstGeom>
                      <a:noFill/>
                      <a:ln>
                        <a:noFill/>
                      </a:ln>
                    </wps:spPr>
                    <wps:txbx>
                      <w:txbxContent>
                        <w:p w14:paraId="378E543A" w14:textId="77777777" w:rsidR="000B3224" w:rsidRDefault="00000000">
                          <w:pPr>
                            <w:spacing w:line="275" w:lineRule="auto"/>
                            <w:textDirection w:val="btLr"/>
                          </w:pPr>
                          <w:r>
                            <w:rPr>
                              <w:rFonts w:ascii="Aptos" w:eastAsia="Aptos" w:hAnsi="Aptos" w:cs="Aptos"/>
                              <w:color w:val="000000"/>
                              <w:sz w:val="20"/>
                            </w:rPr>
                            <w:t>•• PROTECTED 関係者外秘</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506220" cy="398780"/>
              <wp:effectExtent b="0" l="0" r="0" t="0"/>
              <wp:wrapNone/>
              <wp:docPr descr="•• PROTECTED 関係者外秘" id="3" name="image5.png"/>
              <a:graphic>
                <a:graphicData uri="http://schemas.openxmlformats.org/drawingml/2006/picture">
                  <pic:pic>
                    <pic:nvPicPr>
                      <pic:cNvPr descr="•• PROTECTED 関係者外秘" id="0" name="image5.png"/>
                      <pic:cNvPicPr preferRelativeResize="0"/>
                    </pic:nvPicPr>
                    <pic:blipFill>
                      <a:blip r:embed="rId1"/>
                      <a:srcRect/>
                      <a:stretch>
                        <a:fillRect/>
                      </a:stretch>
                    </pic:blipFill>
                    <pic:spPr>
                      <a:xfrm>
                        <a:off x="0" y="0"/>
                        <a:ext cx="1506220" cy="39878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1C22B" w14:textId="77777777" w:rsidR="000B3224" w:rsidRDefault="00000000">
    <w:r>
      <w:rPr>
        <w:noProof/>
      </w:rPr>
      <mc:AlternateContent>
        <mc:Choice Requires="wpg">
          <w:drawing>
            <wp:anchor distT="0" distB="0" distL="0" distR="0" simplePos="0" relativeHeight="251658240" behindDoc="0" locked="0" layoutInCell="1" hidden="0" allowOverlap="1" wp14:anchorId="05C0C04A" wp14:editId="4E9D9419">
              <wp:simplePos x="0" y="0"/>
              <wp:positionH relativeFrom="page">
                <wp:align>center</wp:align>
              </wp:positionH>
              <wp:positionV relativeFrom="page">
                <wp:align>top</wp:align>
              </wp:positionV>
              <wp:extent cx="1506220" cy="398780"/>
              <wp:effectExtent l="0" t="0" r="0" b="0"/>
              <wp:wrapNone/>
              <wp:docPr id="1" name="Retângulo 1" descr="•• PROTECTED 関係者外秘"/>
              <wp:cNvGraphicFramePr/>
              <a:graphic xmlns:a="http://schemas.openxmlformats.org/drawingml/2006/main">
                <a:graphicData uri="http://schemas.microsoft.com/office/word/2010/wordprocessingShape">
                  <wps:wsp>
                    <wps:cNvSpPr/>
                    <wps:spPr>
                      <a:xfrm>
                        <a:off x="4602415" y="3590135"/>
                        <a:ext cx="1487170" cy="379730"/>
                      </a:xfrm>
                      <a:prstGeom prst="rect">
                        <a:avLst/>
                      </a:prstGeom>
                      <a:noFill/>
                      <a:ln>
                        <a:noFill/>
                      </a:ln>
                    </wps:spPr>
                    <wps:txbx>
                      <w:txbxContent>
                        <w:p w14:paraId="60CB24D9" w14:textId="77777777" w:rsidR="000B3224" w:rsidRDefault="00000000">
                          <w:pPr>
                            <w:spacing w:line="275" w:lineRule="auto"/>
                            <w:textDirection w:val="btLr"/>
                          </w:pPr>
                          <w:r>
                            <w:rPr>
                              <w:rFonts w:ascii="Aptos" w:eastAsia="Aptos" w:hAnsi="Aptos" w:cs="Aptos"/>
                              <w:color w:val="000000"/>
                              <w:sz w:val="20"/>
                            </w:rPr>
                            <w:t>•• PROTECTED 関係者外秘</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506220" cy="398780"/>
              <wp:effectExtent b="0" l="0" r="0" t="0"/>
              <wp:wrapNone/>
              <wp:docPr descr="•• PROTECTED 関係者外秘" id="1" name="image3.png"/>
              <a:graphic>
                <a:graphicData uri="http://schemas.openxmlformats.org/drawingml/2006/picture">
                  <pic:pic>
                    <pic:nvPicPr>
                      <pic:cNvPr descr="•• PROTECTED 関係者外秘" id="0" name="image3.png"/>
                      <pic:cNvPicPr preferRelativeResize="0"/>
                    </pic:nvPicPr>
                    <pic:blipFill>
                      <a:blip r:embed="rId1"/>
                      <a:srcRect/>
                      <a:stretch>
                        <a:fillRect/>
                      </a:stretch>
                    </pic:blipFill>
                    <pic:spPr>
                      <a:xfrm>
                        <a:off x="0" y="0"/>
                        <a:ext cx="1506220" cy="398780"/>
                      </a:xfrm>
                      <a:prstGeom prst="rect"/>
                      <a:ln/>
                    </pic:spPr>
                  </pic:pic>
                </a:graphicData>
              </a:graphic>
            </wp:anchor>
          </w:drawing>
        </mc:Fallback>
      </mc:AlternateContent>
    </w:r>
    <w:r>
      <w:rPr>
        <w:noProof/>
      </w:rPr>
      <w:drawing>
        <wp:inline distT="114300" distB="114300" distL="114300" distR="114300" wp14:anchorId="0E476C49" wp14:editId="6511E0E4">
          <wp:extent cx="1047750" cy="4000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47750" cy="400050"/>
                  </a:xfrm>
                  <a:prstGeom prst="rect">
                    <a:avLst/>
                  </a:prstGeom>
                  <a:ln/>
                </pic:spPr>
              </pic:pic>
            </a:graphicData>
          </a:graphic>
        </wp:inline>
      </w:drawing>
    </w:r>
    <w:r>
      <w:t xml:space="preserve">                                                                    </w:t>
    </w:r>
    <w:r>
      <w:rPr>
        <w:noProof/>
      </w:rPr>
      <w:drawing>
        <wp:inline distT="114300" distB="114300" distL="114300" distR="114300" wp14:anchorId="79ED89C1" wp14:editId="28CAA5C7">
          <wp:extent cx="1895475" cy="381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895475" cy="3810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FD178" w14:textId="77777777" w:rsidR="000B3224" w:rsidRDefault="00000000">
    <w:pPr>
      <w:pBdr>
        <w:top w:val="nil"/>
        <w:left w:val="nil"/>
        <w:bottom w:val="nil"/>
        <w:right w:val="nil"/>
        <w:between w:val="nil"/>
      </w:pBdr>
      <w:tabs>
        <w:tab w:val="center" w:pos="4252"/>
        <w:tab w:val="right" w:pos="8504"/>
      </w:tabs>
      <w:spacing w:line="240" w:lineRule="auto"/>
      <w:rPr>
        <w:color w:val="000000"/>
      </w:rPr>
    </w:pPr>
    <w:r>
      <w:rPr>
        <w:noProof/>
        <w:color w:val="000000"/>
      </w:rPr>
      <mc:AlternateContent>
        <mc:Choice Requires="wpg">
          <w:drawing>
            <wp:anchor distT="0" distB="0" distL="0" distR="0" simplePos="0" relativeHeight="251659264" behindDoc="0" locked="0" layoutInCell="1" hidden="0" allowOverlap="1" wp14:anchorId="01469618" wp14:editId="0BF8BF2F">
              <wp:simplePos x="0" y="0"/>
              <wp:positionH relativeFrom="page">
                <wp:align>center</wp:align>
              </wp:positionH>
              <wp:positionV relativeFrom="page">
                <wp:align>top</wp:align>
              </wp:positionV>
              <wp:extent cx="1506220" cy="398780"/>
              <wp:effectExtent l="0" t="0" r="0" b="0"/>
              <wp:wrapNone/>
              <wp:docPr id="2" name="Retângulo 2" descr="•• PROTECTED 関係者外秘"/>
              <wp:cNvGraphicFramePr/>
              <a:graphic xmlns:a="http://schemas.openxmlformats.org/drawingml/2006/main">
                <a:graphicData uri="http://schemas.microsoft.com/office/word/2010/wordprocessingShape">
                  <wps:wsp>
                    <wps:cNvSpPr/>
                    <wps:spPr>
                      <a:xfrm>
                        <a:off x="4602415" y="3590135"/>
                        <a:ext cx="1487170" cy="379730"/>
                      </a:xfrm>
                      <a:prstGeom prst="rect">
                        <a:avLst/>
                      </a:prstGeom>
                      <a:noFill/>
                      <a:ln>
                        <a:noFill/>
                      </a:ln>
                    </wps:spPr>
                    <wps:txbx>
                      <w:txbxContent>
                        <w:p w14:paraId="0C1D6CE2" w14:textId="77777777" w:rsidR="000B3224" w:rsidRDefault="00000000">
                          <w:pPr>
                            <w:spacing w:line="275" w:lineRule="auto"/>
                            <w:textDirection w:val="btLr"/>
                          </w:pPr>
                          <w:r>
                            <w:rPr>
                              <w:rFonts w:ascii="Aptos" w:eastAsia="Aptos" w:hAnsi="Aptos" w:cs="Aptos"/>
                              <w:color w:val="000000"/>
                              <w:sz w:val="20"/>
                            </w:rPr>
                            <w:t>•• PROTECTED 関係者外秘</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506220" cy="398780"/>
              <wp:effectExtent b="0" l="0" r="0" t="0"/>
              <wp:wrapNone/>
              <wp:docPr descr="•• PROTECTED 関係者外秘" id="2" name="image4.png"/>
              <a:graphic>
                <a:graphicData uri="http://schemas.openxmlformats.org/drawingml/2006/picture">
                  <pic:pic>
                    <pic:nvPicPr>
                      <pic:cNvPr descr="•• PROTECTED 関係者外秘" id="0" name="image4.png"/>
                      <pic:cNvPicPr preferRelativeResize="0"/>
                    </pic:nvPicPr>
                    <pic:blipFill>
                      <a:blip r:embed="rId1"/>
                      <a:srcRect/>
                      <a:stretch>
                        <a:fillRect/>
                      </a:stretch>
                    </pic:blipFill>
                    <pic:spPr>
                      <a:xfrm>
                        <a:off x="0" y="0"/>
                        <a:ext cx="1506220" cy="39878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87033"/>
    <w:multiLevelType w:val="multilevel"/>
    <w:tmpl w:val="F4FAAA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90132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24"/>
    <w:rsid w:val="000B3224"/>
    <w:rsid w:val="00195134"/>
    <w:rsid w:val="006A672D"/>
    <w:rsid w:val="00F04F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224D4"/>
  <w15:docId w15:val="{329A1E44-F668-45C4-A5B4-C6F67DB3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elisa.vieira@toyota.com.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oyota@giusticom.com.br" TargetMode="External"/><Relationship Id="rId4" Type="http://schemas.openxmlformats.org/officeDocument/2006/relationships/settings" Target="settings.xml"/><Relationship Id="rId9" Type="http://schemas.openxmlformats.org/officeDocument/2006/relationships/hyperlink" Target="mailto:gabriela.lello@toyota.com.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IWYCO6vzrwTOA21Nuet2MDDK/A==">CgMxLjA4AHIhMTRfZXhyLUdVdDlFNWJFX3dWZG5abGF5X2h6aDNzY2wy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2706</Characters>
  <Application>Microsoft Office Word</Application>
  <DocSecurity>0</DocSecurity>
  <Lines>22</Lines>
  <Paragraphs>6</Paragraphs>
  <ScaleCrop>false</ScaleCrop>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Rebelo Fideli</cp:lastModifiedBy>
  <cp:revision>2</cp:revision>
  <dcterms:created xsi:type="dcterms:W3CDTF">2026-06-22T20:28:00Z</dcterms:created>
  <dcterms:modified xsi:type="dcterms:W3CDTF">2026-06-22T20:28:00Z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1eda5d39,3c0e92a0,7d636809</vt:lpwstr>
  </property>
  <property fmtid="{D5CDD505-2E9C-101B-9397-08002B2CF9AE}" pid="3" name="ClassificationContentMarkingHeaderFontProps">
    <vt:lpwstr>#000000,10,Aptos</vt:lpwstr>
  </property>
  <property fmtid="{D5CDD505-2E9C-101B-9397-08002B2CF9AE}" pid="4" name="ClassificationContentMarkingHeaderText">
    <vt:lpwstr>•• PROTECTED 関係者外秘</vt:lpwstr>
  </property>
  <property fmtid="{D5CDD505-2E9C-101B-9397-08002B2CF9AE}" pid="5" name="MSIP_Label_2e0c7aab-9a44-47a9-b362-9ab239a9b055_Enabled">
    <vt:lpwstr>true</vt:lpwstr>
  </property>
  <property fmtid="{D5CDD505-2E9C-101B-9397-08002B2CF9AE}" pid="6" name="MSIP_Label_2e0c7aab-9a44-47a9-b362-9ab239a9b055_SetDate">
    <vt:lpwstr>2026-06-09T19:48:07Z</vt:lpwstr>
  </property>
  <property fmtid="{D5CDD505-2E9C-101B-9397-08002B2CF9AE}" pid="7" name="MSIP_Label_2e0c7aab-9a44-47a9-b362-9ab239a9b055_Method">
    <vt:lpwstr>Standard</vt:lpwstr>
  </property>
  <property fmtid="{D5CDD505-2E9C-101B-9397-08002B2CF9AE}" pid="8" name="MSIP_Label_2e0c7aab-9a44-47a9-b362-9ab239a9b055_Name">
    <vt:lpwstr>PROTECTED  関係者外秘</vt:lpwstr>
  </property>
  <property fmtid="{D5CDD505-2E9C-101B-9397-08002B2CF9AE}" pid="9" name="MSIP_Label_2e0c7aab-9a44-47a9-b362-9ab239a9b055_SiteId">
    <vt:lpwstr>3855fb14-c221-4399-b3f8-97d96a4ce45d</vt:lpwstr>
  </property>
  <property fmtid="{D5CDD505-2E9C-101B-9397-08002B2CF9AE}" pid="10" name="MSIP_Label_2e0c7aab-9a44-47a9-b362-9ab239a9b055_ActionId">
    <vt:lpwstr>400dd410-1d45-4a5d-bdfa-29a6b603b6c2</vt:lpwstr>
  </property>
  <property fmtid="{D5CDD505-2E9C-101B-9397-08002B2CF9AE}" pid="11" name="MSIP_Label_2e0c7aab-9a44-47a9-b362-9ab239a9b055_ContentBits">
    <vt:lpwstr>1</vt:lpwstr>
  </property>
  <property fmtid="{D5CDD505-2E9C-101B-9397-08002B2CF9AE}" pid="12" name="MSIP_Label_2e0c7aab-9a44-47a9-b362-9ab239a9b055_Tag">
    <vt:lpwstr>10, 3, 0, 1</vt:lpwstr>
  </property>
</Properties>
</file>